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jc w:val="left"/>
      </w:pPr>
      <w:r>
        <w:rPr>
          <w:rFonts w:ascii="Microsoft YaHei" w:hAnsi="Microsoft YaHei" w:eastAsia="Microsoft YaHei"/>
          <w:b/>
          <w:color w:val="185C48"/>
          <w:sz w:val="30"/>
        </w:rPr>
        <w:t>兴邦金租</w:t>
      </w:r>
      <w:r>
        <w:br/>
      </w:r>
      <w:r>
        <w:rPr>
          <w:rFonts w:ascii="Microsoft YaHei" w:hAnsi="Microsoft YaHei" w:eastAsia="Microsoft YaHei"/>
          <w:color w:val="666666"/>
          <w:sz w:val="19"/>
        </w:rPr>
        <w:t>对公智能评审</w:t>
      </w:r>
    </w:p>
    <w:p>
      <w:pPr>
        <w:pStyle w:val="Title"/>
        <w:spacing w:before="1400" w:after="280"/>
      </w:pPr>
      <w:r>
        <w:rPr>
          <w:color w:val="000000"/>
        </w:rPr>
        <w:t>兴邦金租对公智能评审平台</w:t>
        <w:br/>
        <w:t>用户使用手册</w:t>
      </w:r>
    </w:p>
    <w:p>
      <w:pPr>
        <w:spacing w:after="840"/>
      </w:pPr>
      <w:r>
        <w:rPr>
          <w:rFonts w:ascii="Microsoft YaHei" w:hAnsi="Microsoft YaHei" w:eastAsia="Microsoft YaHei"/>
          <w:color w:val="666666"/>
          <w:sz w:val="26"/>
        </w:rPr>
        <w:t>面向客户经理 评审员 配置管理员和系统演示人员</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230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文档信息</w:t>
            </w:r>
          </w:p>
        </w:tc>
        <w:tc>
          <w:tcPr>
            <w:tcW w:type="dxa" w:w="756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内容</w:t>
            </w:r>
          </w:p>
        </w:tc>
      </w:tr>
      <w:tr>
        <w:trPr>
          <w:cantSplit/>
        </w:trPr>
        <w:tc>
          <w:tcPr>
            <w:tcW w:type="dxa" w:w="230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9"/>
              </w:rPr>
              <w:t>文档版本</w:t>
            </w:r>
          </w:p>
        </w:tc>
        <w:tc>
          <w:tcPr>
            <w:tcW w:type="dxa" w:w="7560"/>
            <w:tcMar>
              <w:top w:w="105" w:type="dxa"/>
              <w:start w:w="120" w:type="dxa"/>
              <w:bottom w:w="105" w:type="dxa"/>
              <w:end w:w="120" w:type="dxa"/>
            </w:tcMar>
            <w:vAlign w:val="center"/>
          </w:tcPr>
          <w:p>
            <w:r>
              <w:t>v1.1</w:t>
            </w:r>
          </w:p>
        </w:tc>
      </w:tr>
      <w:tr>
        <w:trPr>
          <w:cantSplit/>
        </w:trPr>
        <w:tc>
          <w:tcPr>
            <w:tcW w:type="dxa" w:w="230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对应系统版本</w:t>
            </w:r>
          </w:p>
        </w:tc>
        <w:tc>
          <w:tcPr>
            <w:tcW w:type="dxa" w:w="7560"/>
            <w:tcMar>
              <w:top w:w="105" w:type="dxa"/>
              <w:start w:w="120" w:type="dxa"/>
              <w:bottom w:w="105" w:type="dxa"/>
              <w:end w:w="120" w:type="dxa"/>
            </w:tcMar>
            <w:shd w:fill="F5F6F6"/>
            <w:vAlign w:val="center"/>
          </w:tcPr>
          <w:p>
            <w:r>
              <w:t>2026年9月客户交付版 b10093f</w:t>
            </w:r>
          </w:p>
        </w:tc>
      </w:tr>
      <w:tr>
        <w:trPr>
          <w:cantSplit/>
        </w:trPr>
        <w:tc>
          <w:tcPr>
            <w:tcW w:type="dxa" w:w="230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9"/>
              </w:rPr>
              <w:t>编制日期</w:t>
            </w:r>
          </w:p>
        </w:tc>
        <w:tc>
          <w:tcPr>
            <w:tcW w:type="dxa" w:w="7560"/>
            <w:tcMar>
              <w:top w:w="105" w:type="dxa"/>
              <w:start w:w="120" w:type="dxa"/>
              <w:bottom w:w="105" w:type="dxa"/>
              <w:end w:w="120" w:type="dxa"/>
            </w:tcMar>
            <w:vAlign w:val="center"/>
          </w:tcPr>
          <w:p>
            <w:r>
              <w:t>2026年9月21日</w:t>
            </w:r>
          </w:p>
        </w:tc>
      </w:tr>
      <w:tr>
        <w:trPr>
          <w:cantSplit/>
        </w:trPr>
        <w:tc>
          <w:tcPr>
            <w:tcW w:type="dxa" w:w="230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适用范围</w:t>
            </w:r>
          </w:p>
        </w:tc>
        <w:tc>
          <w:tcPr>
            <w:tcW w:type="dxa" w:w="756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9"/>
              </w:rPr>
              <w:t>对公融资租赁项目的材料归集 AI预审 独立评审 报告和过程管理</w:t>
            </w:r>
          </w:p>
        </w:tc>
      </w:tr>
      <w:tr>
        <w:tc>
          <w:tcPr>
            <w:tcW w:type="dxa" w:w="4997"/>
          </w:tcPr>
          <w:p>
            <w:r>
              <w:t>本版更新</w:t>
            </w:r>
          </w:p>
        </w:tc>
        <w:tc>
          <w:tcPr>
            <w:tcW w:type="dxa" w:w="4997"/>
          </w:tcPr>
          <w:p>
            <w:r>
              <w:t>业务助手统一为单一入口并更新身份、异常和云端使用说明</w:t>
            </w:r>
          </w:p>
        </w:tc>
      </w:tr>
    </w:tbl>
    <w:p>
      <w:pPr>
        <w:spacing w:after="40"/>
      </w:pPr>
    </w:p>
    <w:p>
      <w:pPr>
        <w:spacing w:before="760" w:after="0"/>
      </w:pPr>
      <w:r>
        <w:t>使用说明  本手册按当前客户交付版本编写。演示数据、规则阈值和身份切换方式用于功能验收，不代表正式生产制度或正式人员授权。</w:t>
      </w:r>
    </w:p>
    <w:p>
      <w:pPr>
        <w:pStyle w:val="BodyText"/>
      </w:pPr>
      <w:r>
        <w:t>本版更新  业务助手已统一为单一入口。用户可在同一页面使用快捷按钮、自然语言和材料上传，无需选择底层技术工作台。</w:t>
      </w:r>
    </w:p>
    <w:p>
      <w:pPr>
        <w:pStyle w:val="Heading1"/>
        <w:keepNext/>
        <w:pageBreakBefore w:val="0"/>
      </w:pPr>
      <w:r>
        <w:rPr>
          <w:rFonts w:ascii="Microsoft YaHei" w:hAnsi="Microsoft YaHei" w:eastAsia="Microsoft YaHei"/>
          <w:b/>
          <w:color w:val="000000"/>
          <w:sz w:val="36"/>
        </w:rPr>
        <w:t>手册导读</w:t>
      </w:r>
    </w:p>
    <w:p>
      <w:pPr>
        <w:pStyle w:val="BodyText"/>
        <w:spacing w:after="120" w:line="312" w:lineRule="auto"/>
      </w:pPr>
      <w:r>
        <w:rPr>
          <w:rFonts w:ascii="Microsoft YaHei" w:hAnsi="Microsoft YaHei" w:eastAsia="Microsoft YaHei"/>
          <w:color w:val="000000"/>
          <w:sz w:val="21"/>
        </w:rPr>
        <w:t>本手册帮助业务人员按角色完成一个对公融资租赁项目的全过程办理，也帮助管理人员理解系统的设计边界。系统把材料、数据来源、AI判断、人工意见、报告版本和时间记录放在同一项目下，用户从项目出发办理业务，不需要理解底层 Agent、SQL 或提示词。</w:t>
      </w:r>
    </w:p>
    <w:p>
      <w:pPr>
        <w:pStyle w:val="BodyText"/>
        <w:spacing w:after="120" w:line="312" w:lineRule="auto"/>
      </w:pPr>
      <w:r>
        <w:rPr>
          <w:rFonts w:ascii="Microsoft YaHei" w:hAnsi="Microsoft YaHei" w:eastAsia="Microsoft YaHei"/>
          <w:color w:val="000000"/>
          <w:sz w:val="21"/>
        </w:rPr>
        <w:t>演示版提供客户经理、评审员和配置管理员三个身份。客户经理完成送审前准备，评审员进行独立评审，配置管理员管理数据和业务能力。所有 AI 预审与评审任务均由底层 mini-openclaw 运行基座调度已发布的数据卡、Skills、规则、经验和报告模板。</w:t>
      </w:r>
    </w:p>
    <w:p>
      <w:pPr>
        <w:pStyle w:val="Heading2"/>
        <w:keepNext/>
        <w:pageBreakBefore w:val="0"/>
      </w:pPr>
      <w:r>
        <w:rPr>
          <w:rFonts w:ascii="Microsoft YaHei" w:hAnsi="Microsoft YaHei" w:eastAsia="Microsoft YaHei"/>
          <w:b/>
          <w:color w:val="000000"/>
          <w:sz w:val="28"/>
        </w:rPr>
        <w:t>阅读路径</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7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读者</w:t>
            </w:r>
          </w:p>
        </w:tc>
        <w:tc>
          <w:tcPr>
            <w:tcW w:type="dxa" w:w="288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建议先读</w:t>
            </w:r>
          </w:p>
        </w:tc>
        <w:tc>
          <w:tcPr>
            <w:tcW w:type="dxa" w:w="52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使用目标</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客户经理</w:t>
            </w:r>
          </w:p>
        </w:tc>
        <w:tc>
          <w:tcPr>
            <w:tcW w:type="dxa" w:w="28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第5章和第10章</w:t>
            </w:r>
          </w:p>
        </w:tc>
        <w:tc>
          <w:tcPr>
            <w:tcW w:type="dxa" w:w="52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完成补材料 AI预审 报告和提交评审</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评审员</w:t>
            </w:r>
          </w:p>
        </w:tc>
        <w:tc>
          <w:tcPr>
            <w:tcW w:type="dxa" w:w="28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第6章和第10章</w:t>
            </w:r>
          </w:p>
        </w:tc>
        <w:tc>
          <w:tcPr>
            <w:tcW w:type="dxa" w:w="52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领取项目 完成全链路复核 退回或批准</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配置管理员</w:t>
            </w:r>
          </w:p>
        </w:tc>
        <w:tc>
          <w:tcPr>
            <w:tcW w:type="dxa" w:w="28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第7章和第8章</w:t>
            </w:r>
          </w:p>
        </w:tc>
        <w:tc>
          <w:tcPr>
            <w:tcW w:type="dxa" w:w="52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管理数据卡 Skills 规则 方案和发布边界</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项目负责人</w:t>
            </w:r>
          </w:p>
        </w:tc>
        <w:tc>
          <w:tcPr>
            <w:tcW w:type="dxa" w:w="28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第3章 第4章和第9章</w:t>
            </w:r>
          </w:p>
        </w:tc>
        <w:tc>
          <w:tcPr>
            <w:tcW w:type="dxa" w:w="52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理解职责分工 查看业务时效和堵点</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演示人员</w:t>
            </w:r>
          </w:p>
        </w:tc>
        <w:tc>
          <w:tcPr>
            <w:tcW w:type="dxa" w:w="28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第11章和附录C</w:t>
            </w:r>
          </w:p>
        </w:tc>
        <w:tc>
          <w:tcPr>
            <w:tcW w:type="dxa" w:w="52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按最小数据集完成可重复演示</w:t>
            </w:r>
          </w:p>
        </w:tc>
      </w:tr>
    </w:tbl>
    <w:p>
      <w:pPr>
        <w:spacing w:after="40"/>
      </w:pPr>
    </w:p>
    <w:p>
      <w:r>
        <w:br w:type="page"/>
      </w:r>
    </w:p>
    <w:p>
      <w:pPr>
        <w:pStyle w:val="Heading2"/>
        <w:keepNext/>
        <w:pageBreakBefore w:val="0"/>
      </w:pPr>
      <w:r>
        <w:rPr>
          <w:rFonts w:ascii="Microsoft YaHei" w:hAnsi="Microsoft YaHei" w:eastAsia="Microsoft YaHei"/>
          <w:b/>
          <w:color w:val="000000"/>
          <w:sz w:val="28"/>
        </w:rPr>
        <w:t>目录</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4896"/>
            <w:shd w:fill="185C4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color w:val="FFFFFF"/>
                <w:sz w:val="18"/>
              </w:rPr>
              <w:t>章节目录 1—9</w:t>
            </w:r>
          </w:p>
        </w:tc>
        <w:tc>
          <w:tcPr>
            <w:tcW w:type="dxa" w:w="4968"/>
            <w:shd w:fill="185C4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color w:val="FFFFFF"/>
                <w:sz w:val="18"/>
              </w:rPr>
              <w:t>章节目录 10—附录</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 系统定位与设计原则</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10 报告 经验和评审闭环</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2 业务架构与信息流</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11 演示数据与完整演示流程</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3 角色职责与权限</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12 常用状态和按钮条件</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4 功能模块说明</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13 异常处理和常见问题</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5 客户经理业务流程</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14 生产接入边界</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6 评审员业务流程</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附录A 业务数据表和数据卡</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7 配置管理员业务流程</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附录B 金租对公业务Skills</w:t>
            </w:r>
          </w:p>
        </w:tc>
      </w:tr>
      <w:tr>
        <w:trPr>
          <w:cantSplit/>
        </w:trPr>
        <w:tc>
          <w:tcPr>
            <w:tcW w:type="dxa" w:w="4896"/>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8 数据和结果可追溯</w:t>
            </w:r>
          </w:p>
        </w:tc>
        <w:tc>
          <w:tcPr>
            <w:tcW w:type="dxa" w:w="4968"/>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7"/>
              </w:rPr>
              <w:t>附录C 演示验收清单</w:t>
            </w:r>
          </w:p>
        </w:tc>
      </w:tr>
      <w:tr>
        <w:trPr>
          <w:cantSplit/>
        </w:trPr>
        <w:tc>
          <w:tcPr>
            <w:tcW w:type="dxa" w:w="4896"/>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t>9 业务时效与过程监控</w:t>
            </w:r>
          </w:p>
        </w:tc>
        <w:tc>
          <w:tcPr>
            <w:tcW w:type="dxa" w:w="4968"/>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7"/>
              </w:rPr>
            </w:r>
          </w:p>
        </w:tc>
      </w:tr>
    </w:tbl>
    <w:p>
      <w:pPr>
        <w:spacing w:after="40"/>
      </w:pPr>
    </w:p>
    <w:p>
      <w:pPr>
        <w:pStyle w:val="Heading1"/>
        <w:keepNext/>
        <w:pageBreakBefore/>
      </w:pPr>
      <w:r>
        <w:rPr>
          <w:rFonts w:ascii="Microsoft YaHei" w:hAnsi="Microsoft YaHei" w:eastAsia="Microsoft YaHei"/>
          <w:b/>
          <w:color w:val="000000"/>
          <w:sz w:val="36"/>
        </w:rPr>
        <w:t>1 系统定位与设计原则</w:t>
      </w:r>
    </w:p>
    <w:p>
      <w:pPr>
        <w:pStyle w:val="BodyText"/>
        <w:spacing w:after="120" w:line="312" w:lineRule="auto"/>
      </w:pPr>
      <w:r>
        <w:rPr>
          <w:rFonts w:ascii="Microsoft YaHei" w:hAnsi="Microsoft YaHei" w:eastAsia="Microsoft YaHei"/>
          <w:color w:val="000000"/>
          <w:sz w:val="21"/>
        </w:rPr>
        <w:t>本平台服务于对公融资租赁项目的送审准备和独立评审。它不替代客户经理收集事实，也不替代评审员作出审批判断。系统的作用是把来源分散的业务数据组织成可核查的项目事实，让 AI 和确定性检查在受控范围内工作，并把每次人工决定留在项目证据链中。</w:t>
      </w:r>
    </w:p>
    <w:p>
      <w:pPr>
        <w:pStyle w:val="Heading2"/>
        <w:keepNext/>
        <w:pageBreakBefore w:val="0"/>
      </w:pPr>
      <w:r>
        <w:rPr>
          <w:rFonts w:ascii="Microsoft YaHei" w:hAnsi="Microsoft YaHei" w:eastAsia="Microsoft YaHei"/>
          <w:b/>
          <w:color w:val="000000"/>
          <w:sz w:val="28"/>
        </w:rPr>
        <w:t>1.1 设计目标</w:t>
      </w:r>
    </w:p>
    <w:p>
      <w:pPr>
        <w:pStyle w:val="ListBullet"/>
        <w:spacing w:after="60" w:line="293" w:lineRule="auto"/>
      </w:pPr>
      <w:r>
        <w:rPr>
          <w:rFonts w:ascii="Microsoft YaHei" w:hAnsi="Microsoft YaHei" w:eastAsia="Microsoft YaHei"/>
          <w:color w:val="000000"/>
          <w:sz w:val="20"/>
        </w:rPr>
        <w:t>业务人员只处理项目、材料、问题、意见和报告，不直接配置数据库、SQL、模型参数或底层工具。</w:t>
      </w:r>
    </w:p>
    <w:p>
      <w:pPr>
        <w:pStyle w:val="ListBullet"/>
        <w:spacing w:after="60" w:line="293" w:lineRule="auto"/>
      </w:pPr>
      <w:r>
        <w:rPr>
          <w:rFonts w:ascii="Microsoft YaHei" w:hAnsi="Microsoft YaHei" w:eastAsia="Microsoft YaHei"/>
          <w:color w:val="000000"/>
          <w:sz w:val="20"/>
        </w:rPr>
        <w:t>客户经理预审和评审员独立评审使用不同业务方案，但公共事实、确定性计算和正式规则保持同源。</w:t>
      </w:r>
    </w:p>
    <w:p>
      <w:pPr>
        <w:pStyle w:val="ListBullet"/>
        <w:spacing w:after="60" w:line="293" w:lineRule="auto"/>
      </w:pPr>
      <w:r>
        <w:rPr>
          <w:rFonts w:ascii="Microsoft YaHei" w:hAnsi="Microsoft YaHei" w:eastAsia="Microsoft YaHei"/>
          <w:color w:val="000000"/>
          <w:sz w:val="20"/>
        </w:rPr>
        <w:t>每次运行冻结输入数据和组件版本，后续修改不会反向覆盖历史结果。</w:t>
      </w:r>
    </w:p>
    <w:p>
      <w:pPr>
        <w:pStyle w:val="ListBullet"/>
        <w:spacing w:after="60" w:line="293" w:lineRule="auto"/>
      </w:pPr>
      <w:r>
        <w:rPr>
          <w:rFonts w:ascii="Microsoft YaHei" w:hAnsi="Microsoft YaHei" w:eastAsia="Microsoft YaHei"/>
          <w:color w:val="000000"/>
          <w:sz w:val="20"/>
        </w:rPr>
        <w:t>所有重要结论可回到材料位置、数据卡、证据编号、Skill、规则、经验和运行编号。</w:t>
      </w:r>
    </w:p>
    <w:p>
      <w:pPr>
        <w:pStyle w:val="ListBullet"/>
        <w:spacing w:after="60" w:line="293" w:lineRule="auto"/>
      </w:pPr>
      <w:r>
        <w:rPr>
          <w:rFonts w:ascii="Microsoft YaHei" w:hAnsi="Microsoft YaHei" w:eastAsia="Microsoft YaHei"/>
          <w:color w:val="000000"/>
          <w:sz w:val="20"/>
        </w:rPr>
        <w:t>时间自动记录并区分人员处理、排队、外部等待和系统执行，不要求额外打卡。</w:t>
      </w:r>
    </w:p>
    <w:p>
      <w:pPr>
        <w:pStyle w:val="Heading2"/>
        <w:keepNext/>
        <w:pageBreakBefore w:val="0"/>
      </w:pPr>
      <w:r>
        <w:rPr>
          <w:rFonts w:ascii="Microsoft YaHei" w:hAnsi="Microsoft YaHei" w:eastAsia="Microsoft YaHei"/>
          <w:b/>
          <w:color w:val="000000"/>
          <w:sz w:val="28"/>
        </w:rPr>
        <w:t>1.2 使用边界</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489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系统负责</w:t>
            </w:r>
          </w:p>
        </w:tc>
        <w:tc>
          <w:tcPr>
            <w:tcW w:type="dxa" w:w="496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仍由人员负责</w:t>
            </w:r>
          </w:p>
        </w:tc>
      </w:tr>
      <w:tr>
        <w:trPr>
          <w:cantSplit/>
        </w:trPr>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归集材料并生成待确认字段候选</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核对材料真实性并确认是否写入项目事实</w:t>
            </w:r>
          </w:p>
        </w:tc>
      </w:tr>
      <w:tr>
        <w:trPr>
          <w:cantSplit/>
        </w:trPr>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执行已发布的确定性检查和模型核查</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解释业务背景 处理例外并形成专业意见</w:t>
            </w:r>
          </w:p>
        </w:tc>
      </w:tr>
      <w:tr>
        <w:trPr>
          <w:cantSplit/>
        </w:trPr>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列出风险 证据和建议动作</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决定补件 现场核实 退回或批准</w:t>
            </w:r>
          </w:p>
        </w:tc>
      </w:tr>
      <w:tr>
        <w:trPr>
          <w:cantSplit/>
        </w:trPr>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按模板生成报告草稿并冻结来源</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确认正文 定稿和承担审批责任</w:t>
            </w:r>
          </w:p>
        </w:tc>
      </w:tr>
      <w:tr>
        <w:trPr>
          <w:cantSplit/>
        </w:trPr>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记录过程时间和操作留痕</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依据管理制度处理超时和资源安排</w:t>
            </w:r>
          </w:p>
        </w:tc>
      </w:tr>
    </w:tbl>
    <w:p>
      <w:pPr>
        <w:spacing w:after="40"/>
      </w:pPr>
    </w:p>
    <w:p>
      <w:pPr>
        <w:pStyle w:val="Heading1"/>
        <w:keepNext/>
        <w:pageBreakBefore/>
      </w:pPr>
      <w:r>
        <w:rPr>
          <w:rFonts w:ascii="Microsoft YaHei" w:hAnsi="Microsoft YaHei" w:eastAsia="Microsoft YaHei"/>
          <w:b/>
          <w:color w:val="000000"/>
          <w:sz w:val="36"/>
        </w:rPr>
        <w:t>2 业务架构与信息流</w:t>
      </w:r>
    </w:p>
    <w:p>
      <w:pPr>
        <w:pStyle w:val="BodyText"/>
        <w:spacing w:after="120" w:line="312" w:lineRule="auto"/>
      </w:pPr>
      <w:r>
        <w:t>用户在同一业务助手中可以使用快捷按钮或自然语言下达指令。服务先校验身份和项目权限，再由底层 mini-openclaw 运行基座创建受控任务。任务读取当次冻结的数据卡、Skills、规则、经验和模板，最终写回问题、报告、评审决定、时间事件和审计记录。mini-openclaw 是底层能力，不再作为普通业务人员需要选择的独立入口。</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rPr>
          <w:tblHeader w:val="true"/>
        </w:trP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页面或对话</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权限校验</w:t>
            </w:r>
          </w:p>
        </w:tc>
        <w:tc>
          <w:tcPr>
            <w:tcW w:type="dxa" w:w="1644"/>
            <w:shd w:fill="EAF3EF"/>
            <w:tcMar>
              <w:top w:w="100" w:type="dxa"/>
              <w:start w:w="70" w:type="dxa"/>
              <w:bottom w:w="100" w:type="dxa"/>
              <w:end w:w="70" w:type="dxa"/>
            </w:tcMar>
            <w:vAlign w:val="center"/>
          </w:tcPr>
          <w:p>
            <w:r>
              <w:t>受控业务运行</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冻结业务组件</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输出业务结果</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项目内追溯</w:t>
            </w:r>
          </w:p>
        </w:tc>
      </w:tr>
    </w:tbl>
    <w:p>
      <w:pPr>
        <w:spacing w:after="20"/>
      </w:pPr>
    </w:p>
    <w:p>
      <w:pPr>
        <w:pStyle w:val="Heading2"/>
        <w:keepNext/>
        <w:pageBreakBefore w:val="0"/>
      </w:pPr>
      <w:r>
        <w:rPr>
          <w:rFonts w:ascii="Microsoft YaHei" w:hAnsi="Microsoft YaHei" w:eastAsia="Microsoft YaHei"/>
          <w:b/>
          <w:color w:val="000000"/>
          <w:sz w:val="28"/>
        </w:rPr>
        <w:t>2.1 两套角色业务方案</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237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业务方案</w:t>
            </w:r>
          </w:p>
        </w:tc>
        <w:tc>
          <w:tcPr>
            <w:tcW w:type="dxa" w:w="144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使用角色</w:t>
            </w:r>
          </w:p>
        </w:tc>
        <w:tc>
          <w:tcPr>
            <w:tcW w:type="dxa" w:w="381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主要目的</w:t>
            </w:r>
          </w:p>
        </w:tc>
        <w:tc>
          <w:tcPr>
            <w:tcW w:type="dxa" w:w="22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输出</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客户经理AI预审</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客户经理</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提交正式评审前检查材料完整性和显著风险</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问题清单 AI预审意见 预审报告</w:t>
            </w:r>
          </w:p>
        </w:tc>
      </w:tr>
      <w:tr>
        <w:trPr>
          <w:cantSplit/>
        </w:trPr>
        <w:tc>
          <w:tcPr>
            <w:tcW w:type="dxa" w:w="237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评审员独立复核</w:t>
            </w:r>
          </w:p>
        </w:tc>
        <w:tc>
          <w:tcPr>
            <w:tcW w:type="dxa" w:w="14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评审员</w:t>
            </w:r>
          </w:p>
        </w:tc>
        <w:tc>
          <w:tcPr>
            <w:tcW w:type="dxa" w:w="381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基于送审快照重新核查全部必审领域</w:t>
            </w:r>
          </w:p>
        </w:tc>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逐节点人工结论 退回或批准 独立评审报告</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多表业务库AI预审</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客户经理</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通过受控SQL读取演示业务库并执行预审</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结构化项目事实 来源记录和检查结果</w:t>
            </w:r>
          </w:p>
        </w:tc>
      </w:tr>
    </w:tbl>
    <w:p>
      <w:pPr>
        <w:spacing w:after="40"/>
      </w:pPr>
    </w:p>
    <w:p>
      <w:pPr>
        <w:pStyle w:val="BodyText"/>
        <w:spacing w:after="120" w:line="312" w:lineRule="auto"/>
      </w:pPr>
      <w:r>
        <w:rPr>
          <w:rFonts w:ascii="Microsoft YaHei" w:hAnsi="Microsoft YaHei" w:eastAsia="Microsoft YaHei"/>
          <w:b/>
          <w:color w:val="000000"/>
          <w:sz w:val="21"/>
        </w:rPr>
        <w:t>客户经理的历史预审不会被评审员的独立评审覆盖。</w:t>
      </w:r>
      <w:r>
        <w:rPr>
          <w:rFonts w:ascii="Microsoft YaHei" w:hAnsi="Microsoft YaHei" w:eastAsia="Microsoft YaHei"/>
          <w:color w:val="000000"/>
          <w:sz w:val="21"/>
        </w:rPr>
        <w:t>评审员领取项目后创建新的独立评审运行，系统仍保留客户经理送审时的数据快照、报告版本和提交时间。</w:t>
      </w:r>
    </w:p>
    <w:p>
      <w:pPr>
        <w:pStyle w:val="Heading1"/>
        <w:keepNext/>
        <w:pageBreakBefore/>
      </w:pPr>
      <w:r>
        <w:rPr>
          <w:rFonts w:ascii="Microsoft YaHei" w:hAnsi="Microsoft YaHei" w:eastAsia="Microsoft YaHei"/>
          <w:b/>
          <w:color w:val="000000"/>
          <w:sz w:val="36"/>
        </w:rPr>
        <w:t>3 角色职责与权限</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187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能力</w:t>
            </w:r>
          </w:p>
        </w:tc>
        <w:tc>
          <w:tcPr>
            <w:tcW w:type="dxa" w:w="25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客户经理</w:t>
            </w:r>
          </w:p>
        </w:tc>
        <w:tc>
          <w:tcPr>
            <w:tcW w:type="dxa" w:w="25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评审员</w:t>
            </w:r>
          </w:p>
        </w:tc>
        <w:tc>
          <w:tcPr>
            <w:tcW w:type="dxa" w:w="295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配置管理员</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查看项目</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仅授权项目</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待领取或本人领取项目</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按明确授权查看</w:t>
            </w:r>
          </w:p>
        </w:tc>
      </w:tr>
      <w:tr>
        <w:trPr>
          <w:cantSplit/>
        </w:trPr>
        <w:tc>
          <w:tcPr>
            <w:tcW w:type="dxa" w:w="187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上传和确认材料</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可以</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只读核查</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默认不办理业务</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发起业务运行</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AI预审</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独立评审</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配置自查或受控测试</w:t>
            </w:r>
          </w:p>
        </w:tc>
      </w:tr>
      <w:tr>
        <w:trPr>
          <w:cantSplit/>
        </w:trPr>
        <w:tc>
          <w:tcPr>
            <w:tcW w:type="dxa" w:w="187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提交评审池</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可以撤回和重新推送</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领取并办理</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不代替业务操作</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人工决定</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回应风险和补件</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逐节点结论 退回或批准</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无审批结论权限</w:t>
            </w:r>
          </w:p>
        </w:tc>
      </w:tr>
      <w:tr>
        <w:trPr>
          <w:cantSplit/>
        </w:trPr>
        <w:tc>
          <w:tcPr>
            <w:tcW w:type="dxa" w:w="187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配置业务组件</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仅选择已发布方案</w:t>
            </w:r>
          </w:p>
        </w:tc>
        <w:tc>
          <w:tcPr>
            <w:tcW w:type="dxa" w:w="25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可查看和参与独立发布审核</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新建 评测 发布 归档和回退</w:t>
            </w:r>
          </w:p>
        </w:tc>
      </w:tr>
      <w:tr>
        <w:trPr>
          <w:cantSplit/>
        </w:trPr>
        <w:tc>
          <w:tcPr>
            <w:tcW w:type="dxa" w:w="187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查看时效</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本人授权项目</w:t>
            </w:r>
          </w:p>
        </w:tc>
        <w:tc>
          <w:tcPr>
            <w:tcW w:type="dxa" w:w="25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本人评审项目</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授权范围汇总和角色筛选</w:t>
            </w:r>
          </w:p>
        </w:tc>
      </w:tr>
    </w:tbl>
    <w:p>
      <w:pPr>
        <w:spacing w:after="40"/>
      </w:pPr>
    </w:p>
    <w:p>
      <w:pPr>
        <w:pStyle w:val="Heading2"/>
        <w:keepNext/>
        <w:pageBreakBefore w:val="0"/>
      </w:pPr>
      <w:r>
        <w:rPr>
          <w:rFonts w:ascii="Microsoft YaHei" w:hAnsi="Microsoft YaHei" w:eastAsia="Microsoft YaHei"/>
          <w:b/>
          <w:color w:val="000000"/>
          <w:sz w:val="28"/>
        </w:rPr>
        <w:t>3.1 身份显示和切换</w:t>
      </w:r>
    </w:p>
    <w:p>
      <w:pPr>
        <w:pStyle w:val="BodyText"/>
        <w:spacing w:after="120" w:line="312" w:lineRule="auto"/>
      </w:pPr>
      <w:r>
        <w:rPr>
          <w:rFonts w:ascii="Microsoft YaHei" w:hAnsi="Microsoft YaHei" w:eastAsia="Microsoft YaHei"/>
          <w:color w:val="000000"/>
          <w:sz w:val="21"/>
        </w:rPr>
        <w:t>每个业务页面顶部均显示当前身份和当前项目。演示环境使用下拉框切换身份，切换时清除旧访问令牌并重新加载页面。生产环境应由服务端令牌、用户角色和项目授权决定身份，不能依赖前端下拉框作为安全控制。</w:t>
      </w:r>
    </w:p>
    <w:p>
      <w:pPr>
        <w:pStyle w:val="Heading2"/>
        <w:keepNext/>
        <w:pageBreakBefore w:val="0"/>
      </w:pPr>
      <w:r>
        <w:rPr>
          <w:rFonts w:ascii="Microsoft YaHei" w:hAnsi="Microsoft YaHei" w:eastAsia="Microsoft YaHei"/>
          <w:b/>
          <w:color w:val="000000"/>
          <w:sz w:val="28"/>
        </w:rPr>
        <w:t>3.2 权限设计</w:t>
      </w:r>
    </w:p>
    <w:p>
      <w:pPr>
        <w:pStyle w:val="ListBullet"/>
        <w:spacing w:after="60" w:line="293" w:lineRule="auto"/>
      </w:pPr>
      <w:r>
        <w:rPr>
          <w:rFonts w:ascii="Microsoft YaHei" w:hAnsi="Microsoft YaHei" w:eastAsia="Microsoft YaHei"/>
          <w:color w:val="000000"/>
          <w:sz w:val="20"/>
        </w:rPr>
        <w:t>页面隐藏按钮只用于减少干扰，后端仍会对每次读取和写入执行角色及项目权限校验。</w:t>
      </w:r>
    </w:p>
    <w:p>
      <w:pPr>
        <w:pStyle w:val="ListBullet"/>
        <w:spacing w:after="60" w:line="293" w:lineRule="auto"/>
      </w:pPr>
      <w:r>
        <w:rPr>
          <w:rFonts w:ascii="Microsoft YaHei" w:hAnsi="Microsoft YaHei" w:eastAsia="Microsoft YaHei"/>
          <w:color w:val="000000"/>
          <w:sz w:val="20"/>
        </w:rPr>
        <w:t>配置管理员能管理数据连接和权限，不代表自动取得全部客户材料。</w:t>
      </w:r>
    </w:p>
    <w:p>
      <w:pPr>
        <w:pStyle w:val="ListBullet"/>
        <w:spacing w:after="60" w:line="293" w:lineRule="auto"/>
      </w:pPr>
      <w:r>
        <w:rPr>
          <w:rFonts w:ascii="Microsoft YaHei" w:hAnsi="Microsoft YaHei" w:eastAsia="Microsoft YaHei"/>
          <w:color w:val="000000"/>
          <w:sz w:val="20"/>
        </w:rPr>
        <w:t>组件发布遵循编辑与审核分离；演示预览可简化为直接发布，正式环境需要独立审核。</w:t>
      </w:r>
    </w:p>
    <w:p>
      <w:pPr>
        <w:pStyle w:val="ListBullet"/>
        <w:spacing w:after="60" w:line="293" w:lineRule="auto"/>
      </w:pPr>
      <w:r>
        <w:rPr>
          <w:rFonts w:ascii="Microsoft YaHei" w:hAnsi="Microsoft YaHei" w:eastAsia="Microsoft YaHei"/>
          <w:color w:val="000000"/>
          <w:sz w:val="20"/>
        </w:rPr>
        <w:t>令牌、数据库密码和模型Key由服务器安全配置引用，不写入数据卡、SQL或运行快照。</w:t>
      </w:r>
    </w:p>
    <w:p>
      <w:pPr>
        <w:pStyle w:val="Heading1"/>
        <w:keepNext/>
        <w:pageBreakBefore/>
      </w:pPr>
      <w:r>
        <w:rPr>
          <w:rFonts w:ascii="Microsoft YaHei" w:hAnsi="Microsoft YaHei" w:eastAsia="Microsoft YaHei"/>
          <w:b/>
          <w:color w:val="000000"/>
          <w:sz w:val="36"/>
        </w:rPr>
        <w:t>4 功能模块说明</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模块</w:t>
            </w:r>
          </w:p>
        </w:tc>
        <w:tc>
          <w:tcPr>
            <w:tcW w:type="dxa" w:w="22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入口</w:t>
            </w:r>
          </w:p>
        </w:tc>
        <w:tc>
          <w:tcPr>
            <w:tcW w:type="dxa" w:w="439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核心用途</w:t>
            </w:r>
          </w:p>
        </w:tc>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主要角色</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业务助手</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w:t>
            </w:r>
          </w:p>
        </w:tc>
        <w:tc>
          <w:tcPr>
            <w:tcW w:type="dxa" w:w="439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用自然语言查状态 发起运行 生成报告 上传材料和提交评审</w:t>
            </w:r>
          </w:p>
        </w:tc>
        <w:tc>
          <w:tcPr>
            <w:tcW w:type="dxa" w:w="16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项目工作台</w:t>
            </w:r>
          </w:p>
        </w:tc>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/xingbang-workbench</w:t>
            </w:r>
          </w:p>
        </w:tc>
        <w:tc>
          <w:tcPr>
            <w:tcW w:type="dxa" w:w="439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集中处理材料 问题 预审 评审 报告 经验和时间轨迹</w:t>
            </w:r>
          </w:p>
        </w:tc>
        <w:tc>
          <w:tcPr>
            <w:tcW w:type="dxa" w:w="16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三类角色</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项目评审池</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/review-pool</w:t>
            </w:r>
          </w:p>
        </w:tc>
        <w:tc>
          <w:tcPr>
            <w:tcW w:type="dxa" w:w="439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客户经理跟踪送审版本 评审员按等待时间领取</w:t>
            </w:r>
          </w:p>
        </w:tc>
        <w:tc>
          <w:tcPr>
            <w:tcW w:type="dxa" w:w="16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业务时效</w:t>
            </w:r>
          </w:p>
        </w:tc>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/operations-center</w:t>
            </w:r>
          </w:p>
        </w:tc>
        <w:tc>
          <w:tcPr>
            <w:tcW w:type="dxa" w:w="439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区分办理 等待 排队和系统耗时</w:t>
            </w:r>
          </w:p>
        </w:tc>
        <w:tc>
          <w:tcPr>
            <w:tcW w:type="dxa" w:w="165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三类角色</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配置治理</w:t>
            </w:r>
          </w:p>
        </w:tc>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/data-access</w:t>
            </w:r>
          </w:p>
        </w:tc>
        <w:tc>
          <w:tcPr>
            <w:tcW w:type="dxa" w:w="439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管理连接 数据卡 Skills 规则 方案和发布审核</w:t>
            </w:r>
          </w:p>
        </w:tc>
        <w:tc>
          <w:tcPr>
            <w:tcW w:type="dxa" w:w="165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配置管理员 评审员</w:t>
            </w:r>
          </w:p>
        </w:tc>
      </w:tr>
    </w:tbl>
    <w:p>
      <w:pPr>
        <w:spacing w:after="40"/>
      </w:pPr>
    </w:p>
    <w:p>
      <w:pPr>
        <w:pStyle w:val="Heading2"/>
        <w:keepNext/>
        <w:pageBreakBefore w:val="0"/>
      </w:pPr>
      <w:r>
        <w:rPr>
          <w:rFonts w:ascii="Microsoft YaHei" w:hAnsi="Microsoft YaHei" w:eastAsia="Microsoft YaHei"/>
          <w:b/>
          <w:color w:val="000000"/>
          <w:sz w:val="28"/>
        </w:rPr>
        <w:t>4.1 业务助手</w:t>
      </w:r>
    </w:p>
    <w:p>
      <w:pPr>
        <w:pStyle w:val="BodyText"/>
        <w:spacing w:after="120" w:line="312" w:lineRule="auto"/>
      </w:pPr>
      <w:r>
        <w:t>业务助手是统一的项目办理入口。用户先选择项目，再在同一页面通过快捷按钮、自然语言或材料上传执行业务动作。上传材料后，系统只归档材料并生成候选字段，仍需到项目页面确认来源。涉及提交正式评审的动作会二次确认。</w:t>
      </w:r>
    </w:p>
    <w:p>
      <w:pPr>
        <w:pStyle w:val="ListBullet"/>
        <w:spacing w:after="60" w:line="293" w:lineRule="auto"/>
      </w:pPr>
      <w:r>
        <w:t>快捷按钮用于查看项目状态、发起AI预审或独立评审、生成报告和提交正式评审。</w:t>
      </w:r>
    </w:p>
    <w:p>
      <w:pPr>
        <w:pStyle w:val="ListBullet"/>
        <w:spacing w:after="60" w:line="293" w:lineRule="auto"/>
      </w:pPr>
      <w:r>
        <w:t>自然语言输入适合说明当前项目要求，例如查询缺失材料、发起风险研判或生成报告；所有动作仍受当前身份和项目权限约束。</w:t>
      </w:r>
    </w:p>
    <w:p>
      <w:pPr>
        <w:pStyle w:val="ListBullet"/>
        <w:spacing w:after="60" w:line="293" w:lineRule="auto"/>
      </w:pPr>
      <w:r>
        <w:rPr>
          <w:rFonts w:ascii="Microsoft YaHei" w:hAnsi="Microsoft YaHei" w:eastAsia="Microsoft YaHei"/>
          <w:color w:val="000000"/>
          <w:sz w:val="20"/>
        </w:rPr>
        <w:t>每次成功操作返回对象编号，并提供进入项目查看结果的链接。</w:t>
      </w:r>
    </w:p>
    <w:p>
      <w:pPr>
        <w:pStyle w:val="Heading2"/>
        <w:keepNext/>
        <w:pageBreakBefore w:val="0"/>
      </w:pPr>
      <w:r>
        <w:rPr>
          <w:rFonts w:ascii="Microsoft YaHei" w:hAnsi="Microsoft YaHei" w:eastAsia="Microsoft YaHei"/>
          <w:b/>
          <w:color w:val="000000"/>
          <w:sz w:val="28"/>
        </w:rPr>
        <w:t>4.2 项目工作台</w:t>
      </w:r>
    </w:p>
    <w:p>
      <w:pPr>
        <w:pStyle w:val="BodyText"/>
        <w:spacing w:after="120" w:line="312" w:lineRule="auto"/>
      </w:pPr>
      <w:r>
        <w:rPr>
          <w:rFonts w:ascii="Microsoft YaHei" w:hAnsi="Microsoft YaHei" w:eastAsia="Microsoft YaHei"/>
          <w:color w:val="000000"/>
          <w:sz w:val="21"/>
        </w:rPr>
        <w:t>项目工作台按身份显示不同页签。客户经理主要看到项目概览、材料与问题、报告和时间轨迹；评审员看到项目概览、全链路评审、报告、评审经验和时间轨迹；配置管理员只保留项目概览和时间视图。</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208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区域</w:t>
            </w:r>
          </w:p>
        </w:tc>
        <w:tc>
          <w:tcPr>
            <w:tcW w:type="dxa" w:w="777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业务含义</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项目列表</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显示客户名称 行业 阶段 待处理数量和明确下一步</w:t>
            </w:r>
          </w:p>
        </w:tc>
      </w:tr>
      <w:tr>
        <w:trPr>
          <w:cantSplit/>
        </w:trPr>
        <w:tc>
          <w:tcPr>
            <w:tcW w:type="dxa" w:w="20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项目概览</w:t>
            </w:r>
          </w:p>
        </w:tc>
        <w:tc>
          <w:tcPr>
            <w:tcW w:type="dxa" w:w="777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查看数据版本 未处理问题 最近运行和检查历史</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材料与问题</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上传材料 查看解析 确认来源 补充字段并闭环问题</w:t>
            </w:r>
          </w:p>
        </w:tc>
      </w:tr>
      <w:tr>
        <w:trPr>
          <w:cantSplit/>
        </w:trPr>
        <w:tc>
          <w:tcPr>
            <w:tcW w:type="dxa" w:w="20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全链路评审</w:t>
            </w:r>
          </w:p>
        </w:tc>
        <w:tc>
          <w:tcPr>
            <w:tcW w:type="dxa" w:w="777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按六个业务主题核查数据 AI判断和人工结论</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报告</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选择模板和来源运行 生成 编辑 确认 锁定 导出和提交</w:t>
            </w:r>
          </w:p>
        </w:tc>
      </w:tr>
      <w:tr>
        <w:trPr>
          <w:cantSplit/>
        </w:trPr>
        <w:tc>
          <w:tcPr>
            <w:tcW w:type="dxa" w:w="20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评审经验</w:t>
            </w:r>
          </w:p>
        </w:tc>
        <w:tc>
          <w:tcPr>
            <w:tcW w:type="dxa" w:w="777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记录专业反馈 形成经验草稿 评测 发布或停用</w:t>
            </w:r>
          </w:p>
        </w:tc>
      </w:tr>
      <w:tr>
        <w:trPr>
          <w:cantSplit/>
        </w:trPr>
        <w:tc>
          <w:tcPr>
            <w:tcW w:type="dxa" w:w="20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时间轨迹</w:t>
            </w:r>
          </w:p>
        </w:tc>
        <w:tc>
          <w:tcPr>
            <w:tcW w:type="dxa" w:w="777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查看本项目所有阶段的开始时间 状态和耗时</w:t>
            </w:r>
          </w:p>
        </w:tc>
      </w:tr>
    </w:tbl>
    <w:p>
      <w:pPr>
        <w:spacing w:after="40"/>
      </w:pPr>
    </w:p>
    <w:p>
      <w:pPr>
        <w:pStyle w:val="Heading2"/>
        <w:keepNext/>
        <w:pageBreakBefore w:val="0"/>
      </w:pPr>
      <w:r>
        <w:rPr>
          <w:rFonts w:ascii="Microsoft YaHei" w:hAnsi="Microsoft YaHei" w:eastAsia="Microsoft YaHei"/>
          <w:b/>
          <w:color w:val="000000"/>
          <w:sz w:val="28"/>
        </w:rPr>
        <w:t>4.3 项目评审池</w:t>
      </w:r>
    </w:p>
    <w:p>
      <w:pPr>
        <w:pStyle w:val="BodyText"/>
        <w:spacing w:after="120" w:line="312" w:lineRule="auto"/>
      </w:pPr>
      <w:r>
        <w:rPr>
          <w:rFonts w:ascii="Microsoft YaHei" w:hAnsi="Microsoft YaHei" w:eastAsia="Microsoft YaHei"/>
          <w:color w:val="000000"/>
          <w:sz w:val="21"/>
        </w:rPr>
        <w:t>项目评审池使用同一条提交时间源。客户经理提交后，项目进入池中并开始记录等待时间。评审员领取时停止排队等待，转为评审办理。客户经理可以撤回当前有效版本，重新推送时只替换池中的有效版本，历史报告、快照和操作记录继续保留。</w:t>
      </w:r>
    </w:p>
    <w:p>
      <w:pPr>
        <w:pStyle w:val="Heading2"/>
        <w:keepNext/>
        <w:pageBreakBefore w:val="0"/>
      </w:pPr>
      <w:r>
        <w:rPr>
          <w:rFonts w:ascii="Microsoft YaHei" w:hAnsi="Microsoft YaHei" w:eastAsia="Microsoft YaHei"/>
          <w:b/>
          <w:color w:val="000000"/>
          <w:sz w:val="28"/>
        </w:rPr>
        <w:t>4.4 业务时效</w:t>
      </w:r>
    </w:p>
    <w:p>
      <w:pPr>
        <w:pStyle w:val="BodyText"/>
        <w:spacing w:after="120" w:line="312" w:lineRule="auto"/>
      </w:pPr>
      <w:r>
        <w:rPr>
          <w:rFonts w:ascii="Microsoft YaHei" w:hAnsi="Microsoft YaHei" w:eastAsia="Microsoft YaHei"/>
          <w:color w:val="000000"/>
          <w:sz w:val="21"/>
        </w:rPr>
        <w:t>业务时效页面显示纳入项目数、中位业务周期、人员处理时间、排队与外部等待时间，并按项目展开阶段时间轴。管理员可以按客户经理或评审员筛选统计范围，普通人员只看到自己的授权范围。</w:t>
      </w:r>
    </w:p>
    <w:p>
      <w:pPr>
        <w:pStyle w:val="Heading2"/>
        <w:keepNext/>
        <w:pageBreakBefore w:val="0"/>
      </w:pPr>
      <w:r>
        <w:rPr>
          <w:rFonts w:ascii="Microsoft YaHei" w:hAnsi="Microsoft YaHei" w:eastAsia="Microsoft YaHei"/>
          <w:b/>
          <w:color w:val="000000"/>
          <w:sz w:val="28"/>
        </w:rPr>
        <w:t>4.5 配置治理</w:t>
      </w:r>
    </w:p>
    <w:p>
      <w:pPr>
        <w:pStyle w:val="BodyText"/>
        <w:spacing w:after="120" w:line="312" w:lineRule="auto"/>
      </w:pPr>
      <w:r>
        <w:rPr>
          <w:rFonts w:ascii="Microsoft YaHei" w:hAnsi="Microsoft YaHei" w:eastAsia="Microsoft YaHei"/>
          <w:color w:val="000000"/>
          <w:sz w:val="21"/>
        </w:rPr>
        <w:t>配置治理把业务能力拆为数据连接、数据卡、Skills、规则集和研判方案。配置管理员在这里创建草稿、检查依赖、测试已保存版本、发布或归档。评审员可承担独立发布审核，客户经理只使用已发布方案。</w:t>
      </w:r>
    </w:p>
    <w:p>
      <w:pPr>
        <w:pStyle w:val="Heading1"/>
        <w:keepNext/>
        <w:pageBreakBefore/>
      </w:pPr>
      <w:r>
        <w:rPr>
          <w:rFonts w:ascii="Microsoft YaHei" w:hAnsi="Microsoft YaHei" w:eastAsia="Microsoft YaHei"/>
          <w:b/>
          <w:color w:val="000000"/>
          <w:sz w:val="36"/>
        </w:rPr>
        <w:t>5 客户经理业务流程</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rPr>
          <w:tblHeader w:val="true"/>
        </w:trP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选择项目</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补充材料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发起AI预审</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处理风险</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生成报告</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提交评审</w:t>
            </w:r>
          </w:p>
        </w:tc>
      </w:tr>
    </w:tbl>
    <w:p>
      <w:pPr>
        <w:spacing w:after="20"/>
      </w:pPr>
    </w:p>
    <w:p>
      <w:pPr>
        <w:pStyle w:val="Heading2"/>
        <w:keepNext/>
        <w:pageBreakBefore w:val="0"/>
      </w:pPr>
      <w:r>
        <w:rPr>
          <w:rFonts w:ascii="Microsoft YaHei" w:hAnsi="Microsoft YaHei" w:eastAsia="Microsoft YaHei"/>
          <w:b/>
          <w:color w:val="000000"/>
          <w:sz w:val="28"/>
        </w:rPr>
        <w:t>5.1 选择项目和判断下一步</w:t>
      </w:r>
    </w:p>
    <w:p>
      <w:pPr>
        <w:pStyle w:val="ListNumber"/>
        <w:spacing w:after="100" w:line="300" w:lineRule="auto"/>
      </w:pPr>
      <w:r>
        <w:rPr>
          <w:rFonts w:ascii="Microsoft YaHei" w:hAnsi="Microsoft YaHei" w:eastAsia="Microsoft YaHei"/>
          <w:b/>
          <w:color w:val="000000"/>
          <w:sz w:val="20"/>
        </w:rPr>
        <w:t xml:space="preserve">确认身份  </w:t>
      </w:r>
      <w:r>
        <w:rPr>
          <w:rFonts w:ascii="Microsoft YaHei" w:hAnsi="Microsoft YaHei" w:eastAsia="Microsoft YaHei"/>
          <w:color w:val="000000"/>
          <w:sz w:val="20"/>
        </w:rPr>
        <w:t>在页面右上角确认当前身份为客户经理。</w:t>
      </w:r>
    </w:p>
    <w:p>
      <w:pPr>
        <w:pStyle w:val="ListNumber"/>
        <w:spacing w:after="100" w:line="300" w:lineRule="auto"/>
      </w:pPr>
      <w:r>
        <w:rPr>
          <w:rFonts w:ascii="Microsoft YaHei" w:hAnsi="Microsoft YaHei" w:eastAsia="Microsoft YaHei"/>
          <w:b/>
          <w:color w:val="000000"/>
          <w:sz w:val="20"/>
        </w:rPr>
        <w:t xml:space="preserve">筛选项目  </w:t>
      </w:r>
      <w:r>
        <w:rPr>
          <w:rFonts w:ascii="Microsoft YaHei" w:hAnsi="Microsoft YaHei" w:eastAsia="Microsoft YaHei"/>
          <w:color w:val="000000"/>
          <w:sz w:val="20"/>
        </w:rPr>
        <w:t>按项目编号或客户名称搜索，在项目卡查看阶段、待处理数量和建议下一步。</w:t>
      </w:r>
    </w:p>
    <w:p>
      <w:pPr>
        <w:pStyle w:val="ListNumber"/>
        <w:spacing w:after="100" w:line="300" w:lineRule="auto"/>
      </w:pPr>
      <w:r>
        <w:rPr>
          <w:rFonts w:ascii="Microsoft YaHei" w:hAnsi="Microsoft YaHei" w:eastAsia="Microsoft YaHei"/>
          <w:b/>
          <w:color w:val="000000"/>
          <w:sz w:val="20"/>
        </w:rPr>
        <w:t xml:space="preserve">进入项目  </w:t>
      </w:r>
      <w:r>
        <w:rPr>
          <w:rFonts w:ascii="Microsoft YaHei" w:hAnsi="Microsoft YaHei" w:eastAsia="Microsoft YaHei"/>
          <w:color w:val="000000"/>
          <w:sz w:val="20"/>
        </w:rPr>
        <w:t>点击项目卡后先看项目概览，再按页面提示进入材料、报告或时间轨迹。</w:t>
      </w:r>
    </w:p>
    <w:p>
      <w:pPr>
        <w:pStyle w:val="BodyText"/>
        <w:spacing w:after="120" w:line="312" w:lineRule="auto"/>
      </w:pPr>
      <w:r>
        <w:rPr>
          <w:rFonts w:ascii="Microsoft YaHei" w:hAnsi="Microsoft YaHei" w:eastAsia="Microsoft YaHei"/>
          <w:b/>
          <w:color w:val="000000"/>
          <w:sz w:val="21"/>
        </w:rPr>
        <w:t>评审员退回的项目仍保留在客户经理工作台。</w:t>
      </w:r>
      <w:r>
        <w:rPr>
          <w:rFonts w:ascii="Microsoft YaHei" w:hAnsi="Microsoft YaHei" w:eastAsia="Microsoft YaHei"/>
          <w:color w:val="000000"/>
          <w:sz w:val="21"/>
        </w:rPr>
        <w:t>整张项目卡显示浅红底和红色标签，并直接列出退回时间、退回原因及“查看退回要求并补充材料”的下一步。重新推送评审后，卡片恢复普通样式。</w:t>
      </w:r>
    </w:p>
    <w:p>
      <w:pPr>
        <w:pStyle w:val="Heading2"/>
        <w:keepNext/>
        <w:pageBreakBefore w:val="0"/>
      </w:pPr>
      <w:r>
        <w:rPr>
          <w:rFonts w:ascii="Microsoft YaHei" w:hAnsi="Microsoft YaHei" w:eastAsia="Microsoft YaHei"/>
          <w:b/>
          <w:color w:val="000000"/>
          <w:sz w:val="28"/>
        </w:rPr>
        <w:t>5.2 上传材料和确认来源</w:t>
      </w:r>
    </w:p>
    <w:p>
      <w:pPr>
        <w:pStyle w:val="ListNumber"/>
        <w:spacing w:after="100" w:line="300" w:lineRule="auto"/>
      </w:pPr>
      <w:r>
        <w:rPr>
          <w:rFonts w:ascii="Microsoft YaHei" w:hAnsi="Microsoft YaHei" w:eastAsia="Microsoft YaHei"/>
          <w:b/>
          <w:color w:val="000000"/>
          <w:sz w:val="20"/>
        </w:rPr>
        <w:t xml:space="preserve">上传材料  </w:t>
      </w:r>
      <w:r>
        <w:rPr>
          <w:rFonts w:ascii="Microsoft YaHei" w:hAnsi="Microsoft YaHei" w:eastAsia="Microsoft YaHei"/>
          <w:color w:val="000000"/>
          <w:sz w:val="20"/>
        </w:rPr>
        <w:t>在业务助手或项目的材料与问题页选择文件。单文件不超过10 MB。</w:t>
      </w:r>
    </w:p>
    <w:p>
      <w:pPr>
        <w:pStyle w:val="ListNumber"/>
        <w:spacing w:after="100" w:line="300" w:lineRule="auto"/>
      </w:pPr>
      <w:r>
        <w:rPr>
          <w:rFonts w:ascii="Microsoft YaHei" w:hAnsi="Microsoft YaHei" w:eastAsia="Microsoft YaHei"/>
          <w:b/>
          <w:color w:val="000000"/>
          <w:sz w:val="20"/>
        </w:rPr>
        <w:t xml:space="preserve">查看解析  </w:t>
      </w:r>
      <w:r>
        <w:rPr>
          <w:rFonts w:ascii="Microsoft YaHei" w:hAnsi="Microsoft YaHei" w:eastAsia="Microsoft YaHei"/>
          <w:color w:val="000000"/>
          <w:sz w:val="20"/>
        </w:rPr>
        <w:t>查看系统识别出的段落、表格行、单元格或CSV行，以及可能形成的标准字段候选。</w:t>
      </w:r>
    </w:p>
    <w:p>
      <w:pPr>
        <w:pStyle w:val="ListNumber"/>
        <w:spacing w:after="100" w:line="300" w:lineRule="auto"/>
      </w:pPr>
      <w:r>
        <w:rPr>
          <w:rFonts w:ascii="Microsoft YaHei" w:hAnsi="Microsoft YaHei" w:eastAsia="Microsoft YaHei"/>
          <w:b/>
          <w:color w:val="000000"/>
          <w:sz w:val="20"/>
        </w:rPr>
        <w:t xml:space="preserve">人工核对  </w:t>
      </w:r>
      <w:r>
        <w:rPr>
          <w:rFonts w:ascii="Microsoft YaHei" w:hAnsi="Microsoft YaHei" w:eastAsia="Microsoft YaHei"/>
          <w:color w:val="000000"/>
          <w:sz w:val="20"/>
        </w:rPr>
        <w:t>核对候选值、期间、口径、单位和材料位置。扫描件无法识别时按提示补充文本或更清晰材料。</w:t>
      </w:r>
    </w:p>
    <w:p>
      <w:pPr>
        <w:pStyle w:val="ListNumber"/>
        <w:spacing w:after="100" w:line="300" w:lineRule="auto"/>
      </w:pPr>
      <w:r>
        <w:rPr>
          <w:rFonts w:ascii="Microsoft YaHei" w:hAnsi="Microsoft YaHei" w:eastAsia="Microsoft YaHei"/>
          <w:b/>
          <w:color w:val="000000"/>
          <w:sz w:val="20"/>
        </w:rPr>
        <w:t xml:space="preserve">确认来源  </w:t>
      </w:r>
      <w:r>
        <w:rPr>
          <w:rFonts w:ascii="Microsoft YaHei" w:hAnsi="Microsoft YaHei" w:eastAsia="Microsoft YaHei"/>
          <w:color w:val="000000"/>
          <w:sz w:val="20"/>
        </w:rPr>
        <w:t>填写核对说明后确认候选。上传动作本身不会覆盖已有项目事实。</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支持格式</w:t>
            </w:r>
          </w:p>
        </w:tc>
        <w:tc>
          <w:tcPr>
            <w:tcW w:type="dxa" w:w="35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主要解析范围</w:t>
            </w:r>
          </w:p>
        </w:tc>
        <w:tc>
          <w:tcPr>
            <w:tcW w:type="dxa" w:w="468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重要限制</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TXT CSV</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文本和结构化行</w:t>
            </w:r>
          </w:p>
        </w:tc>
        <w:tc>
          <w:tcPr>
            <w:tcW w:type="dxa" w:w="46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使用UTF 8编码</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DOCX</w:t>
            </w:r>
          </w:p>
        </w:tc>
        <w:tc>
          <w:tcPr>
            <w:tcW w:type="dxa" w:w="352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正文段落和表格行</w:t>
            </w:r>
          </w:p>
        </w:tc>
        <w:tc>
          <w:tcPr>
            <w:tcW w:type="dxa" w:w="46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保留段落定位 不伪造页码</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XLSX</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单元格 值 公式和缓存</w:t>
            </w:r>
          </w:p>
        </w:tc>
        <w:tc>
          <w:tcPr>
            <w:tcW w:type="dxa" w:w="468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不执行公式或宏 不支持XLS和XLSM</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PDF 图片</w:t>
            </w:r>
          </w:p>
        </w:tc>
        <w:tc>
          <w:tcPr>
            <w:tcW w:type="dxa" w:w="352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文本层或本地OCR</w:t>
            </w:r>
          </w:p>
        </w:tc>
        <w:tc>
          <w:tcPr>
            <w:tcW w:type="dxa" w:w="468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PDF最多40页 OCR需要中文和英文语言包</w:t>
            </w:r>
          </w:p>
        </w:tc>
      </w:tr>
    </w:tbl>
    <w:p>
      <w:pPr>
        <w:spacing w:after="40"/>
      </w:pPr>
    </w:p>
    <w:p>
      <w:pPr>
        <w:pStyle w:val="Heading2"/>
        <w:keepNext/>
        <w:pageBreakBefore w:val="0"/>
      </w:pPr>
      <w:r>
        <w:rPr>
          <w:rFonts w:ascii="Microsoft YaHei" w:hAnsi="Microsoft YaHei" w:eastAsia="Microsoft YaHei"/>
          <w:b/>
          <w:color w:val="000000"/>
          <w:sz w:val="28"/>
        </w:rPr>
        <w:t>5.3 发起AI预审</w:t>
      </w:r>
    </w:p>
    <w:p>
      <w:pPr>
        <w:pStyle w:val="ListNumber"/>
        <w:spacing w:after="100" w:line="300" w:lineRule="auto"/>
      </w:pPr>
      <w:r>
        <w:rPr>
          <w:rFonts w:ascii="Microsoft YaHei" w:hAnsi="Microsoft YaHei" w:eastAsia="Microsoft YaHei"/>
          <w:b/>
          <w:color w:val="000000"/>
          <w:sz w:val="20"/>
        </w:rPr>
        <w:t xml:space="preserve">填写本次要求  </w:t>
      </w:r>
      <w:r>
        <w:rPr>
          <w:rFonts w:ascii="Microsoft YaHei" w:hAnsi="Microsoft YaHei" w:eastAsia="Microsoft YaHei"/>
          <w:color w:val="000000"/>
          <w:sz w:val="20"/>
        </w:rPr>
        <w:t>可用自然语言补充本项目关注点；留空时使用正式方案默认要求。</w:t>
      </w:r>
    </w:p>
    <w:p>
      <w:pPr>
        <w:pStyle w:val="ListNumber"/>
        <w:spacing w:after="100" w:line="300" w:lineRule="auto"/>
      </w:pPr>
      <w:r>
        <w:rPr>
          <w:rFonts w:ascii="Microsoft YaHei" w:hAnsi="Microsoft YaHei" w:eastAsia="Microsoft YaHei"/>
          <w:b/>
          <w:color w:val="000000"/>
          <w:sz w:val="20"/>
        </w:rPr>
        <w:t xml:space="preserve">选择方案  </w:t>
      </w:r>
      <w:r>
        <w:rPr>
          <w:rFonts w:ascii="Microsoft YaHei" w:hAnsi="Microsoft YaHei" w:eastAsia="Microsoft YaHei"/>
          <w:color w:val="000000"/>
          <w:sz w:val="20"/>
        </w:rPr>
        <w:t>通常选择客户经理AI预审；需要演示多表数据库时选择多表业务库AI预审。</w:t>
      </w:r>
    </w:p>
    <w:p>
      <w:pPr>
        <w:pStyle w:val="ListNumber"/>
        <w:spacing w:after="100" w:line="300" w:lineRule="auto"/>
      </w:pPr>
      <w:r>
        <w:rPr>
          <w:rFonts w:ascii="Microsoft YaHei" w:hAnsi="Microsoft YaHei" w:eastAsia="Microsoft YaHei"/>
          <w:b/>
          <w:color w:val="000000"/>
          <w:sz w:val="20"/>
        </w:rPr>
        <w:t xml:space="preserve">开始预审  </w:t>
      </w:r>
      <w:r>
        <w:rPr>
          <w:rFonts w:ascii="Microsoft YaHei" w:hAnsi="Microsoft YaHei" w:eastAsia="Microsoft YaHei"/>
          <w:color w:val="000000"/>
          <w:sz w:val="20"/>
        </w:rPr>
        <w:t>系统创建运行编号并冻结数据和组件版本。页面自动刷新，不需要停留等待。</w:t>
      </w:r>
    </w:p>
    <w:p>
      <w:pPr>
        <w:pStyle w:val="ListNumber"/>
        <w:spacing w:after="100" w:line="300" w:lineRule="auto"/>
      </w:pPr>
      <w:r>
        <w:rPr>
          <w:rFonts w:ascii="Microsoft YaHei" w:hAnsi="Microsoft YaHei" w:eastAsia="Microsoft YaHei"/>
          <w:b/>
          <w:color w:val="000000"/>
          <w:sz w:val="20"/>
        </w:rPr>
        <w:t xml:space="preserve">阅读结果  </w:t>
      </w:r>
      <w:r>
        <w:rPr>
          <w:rFonts w:ascii="Microsoft YaHei" w:hAnsi="Microsoft YaHei" w:eastAsia="Microsoft YaHei"/>
          <w:color w:val="000000"/>
          <w:sz w:val="20"/>
        </w:rPr>
        <w:t>先看中文业务结论和待处理问题，再按需展开规则、证据和技术追溯。</w:t>
      </w:r>
    </w:p>
    <w:p>
      <w:pPr>
        <w:pStyle w:val="BodyText"/>
        <w:spacing w:after="120" w:line="312" w:lineRule="auto"/>
      </w:pPr>
      <w:r>
        <w:rPr>
          <w:rFonts w:ascii="Microsoft YaHei" w:hAnsi="Microsoft YaHei" w:eastAsia="Microsoft YaHei"/>
          <w:color w:val="000000"/>
          <w:sz w:val="21"/>
        </w:rPr>
        <w:t>运行状态中的“部分完成”表示至少有一个步骤未完成或仍有材料问题，不等于系统全部失败。没有执行、没有证据或材料不足的检查不能被视为通过。</w:t>
      </w:r>
    </w:p>
    <w:p>
      <w:pPr>
        <w:pStyle w:val="Heading2"/>
        <w:keepNext/>
        <w:pageBreakBefore w:val="0"/>
      </w:pPr>
      <w:r>
        <w:rPr>
          <w:rFonts w:ascii="Microsoft YaHei" w:hAnsi="Microsoft YaHei" w:eastAsia="Microsoft YaHei"/>
          <w:b/>
          <w:color w:val="000000"/>
          <w:sz w:val="28"/>
        </w:rPr>
        <w:t>5.4 处理问题和补件</w:t>
      </w:r>
    </w:p>
    <w:p>
      <w:pPr>
        <w:pStyle w:val="BodyText"/>
        <w:spacing w:after="120" w:line="312" w:lineRule="auto"/>
      </w:pPr>
      <w:r>
        <w:rPr>
          <w:rFonts w:ascii="Microsoft YaHei" w:hAnsi="Microsoft YaHei" w:eastAsia="Microsoft YaHei"/>
          <w:color w:val="000000"/>
          <w:sz w:val="21"/>
        </w:rPr>
        <w:t>每个问题卡说明问题、影响、数据来源和建议动作。客户经理可以选择待补件、待复核或不适用，并填写处理说明；也可以使用人工补充字段记录经过核实的值。补件完成后需要再次运行AI预审，系统比较新旧结果并保留历史。</w:t>
      </w:r>
    </w:p>
    <w:p>
      <w:pPr>
        <w:pStyle w:val="ListBullet"/>
        <w:spacing w:after="60" w:line="293" w:lineRule="auto"/>
      </w:pPr>
      <w:r>
        <w:rPr>
          <w:rFonts w:ascii="Microsoft YaHei" w:hAnsi="Microsoft YaHei" w:eastAsia="Microsoft YaHei"/>
          <w:color w:val="000000"/>
          <w:sz w:val="20"/>
        </w:rPr>
        <w:t>旧材料和旧来源不删除，新的确认形成新数据版本。</w:t>
      </w:r>
    </w:p>
    <w:p>
      <w:pPr>
        <w:pStyle w:val="ListBullet"/>
        <w:spacing w:after="60" w:line="293" w:lineRule="auto"/>
      </w:pPr>
      <w:r>
        <w:rPr>
          <w:rFonts w:ascii="Microsoft YaHei" w:hAnsi="Microsoft YaHei" w:eastAsia="Microsoft YaHei"/>
          <w:color w:val="000000"/>
          <w:sz w:val="20"/>
        </w:rPr>
        <w:t>已解决状态只能由有依据的新检查确认，人工说明不能直接把机器问题改成已解决。</w:t>
      </w:r>
    </w:p>
    <w:p>
      <w:pPr>
        <w:pStyle w:val="ListBullet"/>
        <w:spacing w:after="60" w:line="293" w:lineRule="auto"/>
      </w:pPr>
      <w:r>
        <w:rPr>
          <w:rFonts w:ascii="Microsoft YaHei" w:hAnsi="Microsoft YaHei" w:eastAsia="Microsoft YaHei"/>
          <w:color w:val="000000"/>
          <w:sz w:val="20"/>
        </w:rPr>
        <w:t>需要现场核实的事项应写明核实结果并上传对应材料，使评审员能从项目中回看。</w:t>
      </w:r>
    </w:p>
    <w:p>
      <w:pPr>
        <w:pStyle w:val="Heading2"/>
        <w:keepNext/>
        <w:pageBreakBefore w:val="0"/>
      </w:pPr>
      <w:r>
        <w:rPr>
          <w:rFonts w:ascii="Microsoft YaHei" w:hAnsi="Microsoft YaHei" w:eastAsia="Microsoft YaHei"/>
          <w:b/>
          <w:color w:val="000000"/>
          <w:sz w:val="28"/>
        </w:rPr>
        <w:t>5.5 生成AI预审报告</w:t>
      </w:r>
    </w:p>
    <w:p>
      <w:pPr>
        <w:pStyle w:val="ListNumber"/>
        <w:spacing w:after="100" w:line="300" w:lineRule="auto"/>
      </w:pPr>
      <w:r>
        <w:rPr>
          <w:rFonts w:ascii="Microsoft YaHei" w:hAnsi="Microsoft YaHei" w:eastAsia="Microsoft YaHei"/>
          <w:b/>
          <w:color w:val="000000"/>
          <w:sz w:val="20"/>
        </w:rPr>
        <w:t xml:space="preserve">选择来源运行  </w:t>
      </w:r>
      <w:r>
        <w:rPr>
          <w:rFonts w:ascii="Microsoft YaHei" w:hAnsi="Microsoft YaHei" w:eastAsia="Microsoft YaHei"/>
          <w:color w:val="000000"/>
          <w:sz w:val="20"/>
        </w:rPr>
        <w:t>选择最近一次已完成或部分完成的客户经理预审。</w:t>
      </w:r>
    </w:p>
    <w:p>
      <w:pPr>
        <w:pStyle w:val="ListNumber"/>
        <w:spacing w:after="100" w:line="300" w:lineRule="auto"/>
      </w:pPr>
      <w:r>
        <w:rPr>
          <w:rFonts w:ascii="Microsoft YaHei" w:hAnsi="Microsoft YaHei" w:eastAsia="Microsoft YaHei"/>
          <w:b/>
          <w:color w:val="000000"/>
          <w:sz w:val="20"/>
        </w:rPr>
        <w:t xml:space="preserve">选择模板  </w:t>
      </w:r>
      <w:r>
        <w:rPr>
          <w:rFonts w:ascii="Microsoft YaHei" w:hAnsi="Microsoft YaHei" w:eastAsia="Microsoft YaHei"/>
          <w:color w:val="000000"/>
          <w:sz w:val="20"/>
        </w:rPr>
        <w:t>使用AI预审报告模板；模板版本随报告冻结。</w:t>
      </w:r>
    </w:p>
    <w:p>
      <w:pPr>
        <w:pStyle w:val="ListNumber"/>
        <w:spacing w:after="100" w:line="300" w:lineRule="auto"/>
      </w:pPr>
      <w:r>
        <w:rPr>
          <w:rFonts w:ascii="Microsoft YaHei" w:hAnsi="Microsoft YaHei" w:eastAsia="Microsoft YaHei"/>
          <w:b/>
          <w:color w:val="000000"/>
          <w:sz w:val="20"/>
        </w:rPr>
        <w:t xml:space="preserve">生成报告  </w:t>
      </w:r>
      <w:r>
        <w:rPr>
          <w:rFonts w:ascii="Microsoft YaHei" w:hAnsi="Microsoft YaHei" w:eastAsia="Microsoft YaHei"/>
          <w:color w:val="000000"/>
          <w:sz w:val="20"/>
        </w:rPr>
        <w:t>系统写入项目概况、资料完整性、财务现金流、主要风险、客户经理说明和提交前建议。</w:t>
      </w:r>
    </w:p>
    <w:p>
      <w:pPr>
        <w:pStyle w:val="ListNumber"/>
        <w:spacing w:after="100" w:line="300" w:lineRule="auto"/>
      </w:pPr>
      <w:r>
        <w:rPr>
          <w:rFonts w:ascii="Microsoft YaHei" w:hAnsi="Microsoft YaHei" w:eastAsia="Microsoft YaHei"/>
          <w:b/>
          <w:color w:val="000000"/>
          <w:sz w:val="20"/>
        </w:rPr>
        <w:t xml:space="preserve">确认正文  </w:t>
      </w:r>
      <w:r>
        <w:rPr>
          <w:rFonts w:ascii="Microsoft YaHei" w:hAnsi="Microsoft YaHei" w:eastAsia="Microsoft YaHei"/>
          <w:color w:val="000000"/>
          <w:sz w:val="20"/>
        </w:rPr>
        <w:t>事实和风险章节来自冻结结果；人工意见章节可修改。确认后可锁定，避免重生成覆盖。</w:t>
      </w:r>
    </w:p>
    <w:p>
      <w:pPr>
        <w:pStyle w:val="ListNumber"/>
        <w:spacing w:after="100" w:line="300" w:lineRule="auto"/>
      </w:pPr>
      <w:r>
        <w:rPr>
          <w:rFonts w:ascii="Microsoft YaHei" w:hAnsi="Microsoft YaHei" w:eastAsia="Microsoft YaHei"/>
          <w:b/>
          <w:color w:val="000000"/>
          <w:sz w:val="20"/>
        </w:rPr>
        <w:t xml:space="preserve">导出或提交  </w:t>
      </w:r>
      <w:r>
        <w:rPr>
          <w:rFonts w:ascii="Microsoft YaHei" w:hAnsi="Microsoft YaHei" w:eastAsia="Microsoft YaHei"/>
          <w:color w:val="000000"/>
          <w:sz w:val="20"/>
        </w:rPr>
        <w:t>可导出Word；正式提交前确认所有必要说明和材料已经闭环。</w:t>
      </w:r>
    </w:p>
    <w:p>
      <w:pPr>
        <w:pStyle w:val="Heading2"/>
        <w:keepNext/>
        <w:pageBreakBefore w:val="0"/>
      </w:pPr>
      <w:r>
        <w:rPr>
          <w:rFonts w:ascii="Microsoft YaHei" w:hAnsi="Microsoft YaHei" w:eastAsia="Microsoft YaHei"/>
          <w:b/>
          <w:color w:val="000000"/>
          <w:sz w:val="28"/>
        </w:rPr>
        <w:t>5.6 提交评审池和后续处理</w:t>
      </w:r>
    </w:p>
    <w:p>
      <w:pPr>
        <w:pStyle w:val="ListNumber"/>
        <w:spacing w:after="100" w:line="300" w:lineRule="auto"/>
      </w:pPr>
      <w:r>
        <w:rPr>
          <w:rFonts w:ascii="Microsoft YaHei" w:hAnsi="Microsoft YaHei" w:eastAsia="Microsoft YaHei"/>
          <w:b/>
          <w:color w:val="000000"/>
          <w:sz w:val="20"/>
        </w:rPr>
        <w:t xml:space="preserve">提交正式评审  </w:t>
      </w:r>
      <w:r>
        <w:rPr>
          <w:rFonts w:ascii="Microsoft YaHei" w:hAnsi="Microsoft YaHei" w:eastAsia="Microsoft YaHei"/>
          <w:color w:val="000000"/>
          <w:sz w:val="20"/>
        </w:rPr>
        <w:t>在报告页确认提交。系统保留当前AI预审报告并跳转项目评审池。</w:t>
      </w:r>
    </w:p>
    <w:p>
      <w:pPr>
        <w:pStyle w:val="ListNumber"/>
        <w:spacing w:after="100" w:line="300" w:lineRule="auto"/>
      </w:pPr>
      <w:r>
        <w:rPr>
          <w:rFonts w:ascii="Microsoft YaHei" w:hAnsi="Microsoft YaHei" w:eastAsia="Microsoft YaHei"/>
          <w:b/>
          <w:color w:val="000000"/>
          <w:sz w:val="20"/>
        </w:rPr>
        <w:t xml:space="preserve">查看等待状态  </w:t>
      </w:r>
      <w:r>
        <w:rPr>
          <w:rFonts w:ascii="Microsoft YaHei" w:hAnsi="Microsoft YaHei" w:eastAsia="Microsoft YaHei"/>
          <w:color w:val="000000"/>
          <w:sz w:val="20"/>
        </w:rPr>
        <w:t>评审池显示提交版本、提交时间、已等待多久以及是否已被评审员领取。</w:t>
      </w:r>
    </w:p>
    <w:p>
      <w:pPr>
        <w:pStyle w:val="ListNumber"/>
        <w:spacing w:after="100" w:line="300" w:lineRule="auto"/>
      </w:pPr>
      <w:r>
        <w:rPr>
          <w:rFonts w:ascii="Microsoft YaHei" w:hAnsi="Microsoft YaHei" w:eastAsia="Microsoft YaHei"/>
          <w:b/>
          <w:color w:val="000000"/>
          <w:sz w:val="20"/>
        </w:rPr>
        <w:t xml:space="preserve">撤回  </w:t>
      </w:r>
      <w:r>
        <w:rPr>
          <w:rFonts w:ascii="Microsoft YaHei" w:hAnsi="Microsoft YaHei" w:eastAsia="Microsoft YaHei"/>
          <w:color w:val="000000"/>
          <w:sz w:val="20"/>
        </w:rPr>
        <w:t>最终决定形成前可撤回当前版本。系统停止当前排队或办理时间，并保留全部历史。</w:t>
      </w:r>
    </w:p>
    <w:p>
      <w:pPr>
        <w:pStyle w:val="ListNumber"/>
        <w:spacing w:after="100" w:line="300" w:lineRule="auto"/>
      </w:pPr>
      <w:r>
        <w:rPr>
          <w:rFonts w:ascii="Microsoft YaHei" w:hAnsi="Microsoft YaHei" w:eastAsia="Microsoft YaHei"/>
          <w:b/>
          <w:color w:val="000000"/>
          <w:sz w:val="20"/>
        </w:rPr>
        <w:t xml:space="preserve">重新推送  </w:t>
      </w:r>
      <w:r>
        <w:rPr>
          <w:rFonts w:ascii="Microsoft YaHei" w:hAnsi="Microsoft YaHei" w:eastAsia="Microsoft YaHei"/>
          <w:color w:val="000000"/>
          <w:sz w:val="20"/>
        </w:rPr>
        <w:t>完成修改后重新推送，新版本覆盖池中的当前有效版本，但不覆盖历史送审记录。</w:t>
      </w:r>
    </w:p>
    <w:p>
      <w:pPr>
        <w:pStyle w:val="ListNumber"/>
        <w:spacing w:after="100" w:line="300" w:lineRule="auto"/>
      </w:pPr>
      <w:r>
        <w:rPr>
          <w:rFonts w:ascii="Microsoft YaHei" w:hAnsi="Microsoft YaHei" w:eastAsia="Microsoft YaHei"/>
          <w:b/>
          <w:color w:val="000000"/>
          <w:sz w:val="20"/>
        </w:rPr>
        <w:t xml:space="preserve">处理退回  </w:t>
      </w:r>
      <w:r>
        <w:rPr>
          <w:rFonts w:ascii="Microsoft YaHei" w:hAnsi="Microsoft YaHei" w:eastAsia="Microsoft YaHei"/>
          <w:color w:val="000000"/>
          <w:sz w:val="20"/>
        </w:rPr>
        <w:t>评审员退回后，回到红色项目卡查看原因，补充材料、重新预审、更新报告并再次推送。</w:t>
      </w:r>
    </w:p>
    <w:p>
      <w:pPr>
        <w:pStyle w:val="Heading1"/>
        <w:keepNext/>
        <w:pageBreakBefore/>
      </w:pPr>
      <w:r>
        <w:rPr>
          <w:rFonts w:ascii="Microsoft YaHei" w:hAnsi="Microsoft YaHei" w:eastAsia="Microsoft YaHei"/>
          <w:b/>
          <w:color w:val="000000"/>
          <w:sz w:val="36"/>
        </w:rPr>
        <w:t>6 评审员业务流程</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rPr>
          <w:tblHeader w:val="true"/>
        </w:trP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查看评审池</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领取项目</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独立评审</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逐节点结论</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退回或批准</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形成报告</w:t>
            </w:r>
          </w:p>
        </w:tc>
      </w:tr>
    </w:tbl>
    <w:p>
      <w:pPr>
        <w:spacing w:after="20"/>
      </w:pPr>
    </w:p>
    <w:p>
      <w:pPr>
        <w:pStyle w:val="Heading2"/>
        <w:keepNext/>
        <w:pageBreakBefore w:val="0"/>
      </w:pPr>
      <w:r>
        <w:rPr>
          <w:rFonts w:ascii="Microsoft YaHei" w:hAnsi="Microsoft YaHei" w:eastAsia="Microsoft YaHei"/>
          <w:b/>
          <w:color w:val="000000"/>
          <w:sz w:val="28"/>
        </w:rPr>
        <w:t>6.1 接收和领取项目</w:t>
      </w:r>
    </w:p>
    <w:p>
      <w:pPr>
        <w:pStyle w:val="ListNumber"/>
        <w:spacing w:after="100" w:line="300" w:lineRule="auto"/>
      </w:pPr>
      <w:r>
        <w:rPr>
          <w:rFonts w:ascii="Microsoft YaHei" w:hAnsi="Microsoft YaHei" w:eastAsia="Microsoft YaHei"/>
          <w:b/>
          <w:color w:val="000000"/>
          <w:sz w:val="20"/>
        </w:rPr>
        <w:t xml:space="preserve">打开项目评审池  </w:t>
      </w:r>
      <w:r>
        <w:rPr>
          <w:rFonts w:ascii="Microsoft YaHei" w:hAnsi="Microsoft YaHei" w:eastAsia="Microsoft YaHei"/>
          <w:color w:val="000000"/>
          <w:sz w:val="20"/>
        </w:rPr>
        <w:t>项目按等待时长排序，卡片显示客户经理提交时间和当前等待时间。</w:t>
      </w:r>
    </w:p>
    <w:p>
      <w:pPr>
        <w:pStyle w:val="ListNumber"/>
        <w:spacing w:after="100" w:line="300" w:lineRule="auto"/>
      </w:pPr>
      <w:r>
        <w:rPr>
          <w:rFonts w:ascii="Microsoft YaHei" w:hAnsi="Microsoft YaHei" w:eastAsia="Microsoft YaHei"/>
          <w:b/>
          <w:color w:val="000000"/>
          <w:sz w:val="20"/>
        </w:rPr>
        <w:t xml:space="preserve">判断优先级  </w:t>
      </w:r>
      <w:r>
        <w:rPr>
          <w:rFonts w:ascii="Microsoft YaHei" w:hAnsi="Microsoft YaHei" w:eastAsia="Microsoft YaHei"/>
          <w:color w:val="000000"/>
          <w:sz w:val="20"/>
        </w:rPr>
        <w:t>结合等待时间、行业和项目阶段选择要办理的项目。</w:t>
      </w:r>
    </w:p>
    <w:p>
      <w:pPr>
        <w:pStyle w:val="ListNumber"/>
        <w:spacing w:after="100" w:line="300" w:lineRule="auto"/>
      </w:pPr>
      <w:r>
        <w:rPr>
          <w:rFonts w:ascii="Microsoft YaHei" w:hAnsi="Microsoft YaHei" w:eastAsia="Microsoft YaHei"/>
          <w:b/>
          <w:color w:val="000000"/>
          <w:sz w:val="20"/>
        </w:rPr>
        <w:t xml:space="preserve">领取项目  </w:t>
      </w:r>
      <w:r>
        <w:rPr>
          <w:rFonts w:ascii="Microsoft YaHei" w:hAnsi="Microsoft YaHei" w:eastAsia="Microsoft YaHei"/>
          <w:color w:val="000000"/>
          <w:sz w:val="20"/>
        </w:rPr>
        <w:t>点击领取并开始评审。领取后停止排队计时并记录评审员和开始时间。</w:t>
      </w:r>
    </w:p>
    <w:p>
      <w:pPr>
        <w:pStyle w:val="ListNumber"/>
        <w:spacing w:after="100" w:line="300" w:lineRule="auto"/>
      </w:pPr>
      <w:r>
        <w:rPr>
          <w:rFonts w:ascii="Microsoft YaHei" w:hAnsi="Microsoft YaHei" w:eastAsia="Microsoft YaHei"/>
          <w:b/>
          <w:color w:val="000000"/>
          <w:sz w:val="20"/>
        </w:rPr>
        <w:t xml:space="preserve">继续办理  </w:t>
      </w:r>
      <w:r>
        <w:rPr>
          <w:rFonts w:ascii="Microsoft YaHei" w:hAnsi="Microsoft YaHei" w:eastAsia="Microsoft YaHei"/>
          <w:color w:val="000000"/>
          <w:sz w:val="20"/>
        </w:rPr>
        <w:t>本人已领取的项目继续显示在评审池，可随时返回项目。</w:t>
      </w:r>
    </w:p>
    <w:p>
      <w:pPr>
        <w:pStyle w:val="Heading2"/>
        <w:keepNext/>
        <w:pageBreakBefore w:val="0"/>
      </w:pPr>
      <w:r>
        <w:rPr>
          <w:rFonts w:ascii="Microsoft YaHei" w:hAnsi="Microsoft YaHei" w:eastAsia="Microsoft YaHei"/>
          <w:b/>
          <w:color w:val="000000"/>
          <w:sz w:val="28"/>
        </w:rPr>
        <w:t>6.2 独立评审的六个业务主题</w:t>
      </w:r>
    </w:p>
    <w:p>
      <w:pPr>
        <w:pStyle w:val="BodyText"/>
        <w:spacing w:after="120" w:line="312" w:lineRule="auto"/>
      </w:pPr>
      <w:r>
        <w:rPr>
          <w:rFonts w:ascii="Microsoft YaHei" w:hAnsi="Microsoft YaHei" w:eastAsia="Microsoft YaHei"/>
          <w:color w:val="000000"/>
          <w:sz w:val="21"/>
        </w:rPr>
        <w:t>评审员不能因为AI未报错就跳过人工核查。全链路评审固定覆盖六个业务主题，每个主题同时展示数据与来源、AI辅助判断和评审员结论。</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22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业务主题</w:t>
            </w:r>
          </w:p>
        </w:tc>
        <w:tc>
          <w:tcPr>
            <w:tcW w:type="dxa" w:w="76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重点核查内容</w:t>
            </w:r>
          </w:p>
        </w:tc>
      </w:tr>
      <w:tr>
        <w:trPr>
          <w:cantSplit/>
        </w:trPr>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主体信息</w:t>
            </w:r>
          </w:p>
        </w:tc>
        <w:tc>
          <w:tcPr>
            <w:tcW w:type="dxa" w:w="76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客户名称 项目编号 行业和基础材料完整性</w:t>
            </w:r>
          </w:p>
        </w:tc>
      </w:tr>
      <w:tr>
        <w:trPr>
          <w:cantSplit/>
        </w:trPr>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财务与现金流</w:t>
            </w:r>
          </w:p>
        </w:tc>
        <w:tc>
          <w:tcPr>
            <w:tcW w:type="dxa" w:w="76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资产 负债 经营现金流 偿债能力和口径一致性</w:t>
            </w:r>
          </w:p>
        </w:tc>
      </w:tr>
      <w:tr>
        <w:trPr>
          <w:cantSplit/>
        </w:trPr>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租赁物</w:t>
            </w:r>
          </w:p>
        </w:tc>
        <w:tc>
          <w:tcPr>
            <w:tcW w:type="dxa" w:w="76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真实性 权属 特定化 估值 重复编号 保险和可处置性</w:t>
            </w:r>
          </w:p>
        </w:tc>
      </w:tr>
      <w:tr>
        <w:trPr>
          <w:cantSplit/>
        </w:trPr>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增信措施</w:t>
            </w:r>
          </w:p>
        </w:tc>
        <w:tc>
          <w:tcPr>
            <w:tcW w:type="dxa" w:w="76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保证金 保证 抵质押 有效性和集中度数据</w:t>
            </w:r>
          </w:p>
        </w:tc>
      </w:tr>
      <w:tr>
        <w:trPr>
          <w:cantSplit/>
        </w:trPr>
        <w:tc>
          <w:tcPr>
            <w:tcW w:type="dxa" w:w="22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征信与涉诉</w:t>
            </w:r>
          </w:p>
        </w:tc>
        <w:tc>
          <w:tcPr>
            <w:tcW w:type="dxa" w:w="76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征信时点 逾期 查询 涉诉 执行和金额</w:t>
            </w:r>
          </w:p>
        </w:tc>
      </w:tr>
      <w:tr>
        <w:trPr>
          <w:cantSplit/>
        </w:trPr>
        <w:tc>
          <w:tcPr>
            <w:tcW w:type="dxa" w:w="22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交易结构与还款</w:t>
            </w:r>
          </w:p>
        </w:tc>
        <w:tc>
          <w:tcPr>
            <w:tcW w:type="dxa" w:w="76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融资金额 期限 还款来源 售后回租适用性和回款依赖</w:t>
            </w:r>
          </w:p>
        </w:tc>
      </w:tr>
    </w:tbl>
    <w:p>
      <w:pPr>
        <w:spacing w:after="40"/>
      </w:pPr>
    </w:p>
    <w:p>
      <w:pPr>
        <w:pStyle w:val="Heading2"/>
        <w:keepNext/>
        <w:pageBreakBefore w:val="0"/>
      </w:pPr>
      <w:r>
        <w:rPr>
          <w:rFonts w:ascii="Microsoft YaHei" w:hAnsi="Microsoft YaHei" w:eastAsia="Microsoft YaHei"/>
          <w:b/>
          <w:color w:val="000000"/>
          <w:sz w:val="28"/>
        </w:rPr>
        <w:t>6.3 三条信息链的阅读顺序</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94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信息链</w:t>
            </w:r>
          </w:p>
        </w:tc>
        <w:tc>
          <w:tcPr>
            <w:tcW w:type="dxa" w:w="43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页面内容</w:t>
            </w:r>
          </w:p>
        </w:tc>
        <w:tc>
          <w:tcPr>
            <w:tcW w:type="dxa" w:w="36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评审动作</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数据与来源</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关键字段 材料名称 数据卡字段和定位</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点击来源核对原材料和口径</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AI辅助判断</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正常 异常 材料不足 理由 命中的Skill和规则</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把AI问题作为重点 不把正常结果当作自动通过</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评审员结论</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结论下拉和简短意见输入</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逐节点保存人工判断和理由</w:t>
            </w:r>
          </w:p>
        </w:tc>
      </w:tr>
    </w:tbl>
    <w:p>
      <w:pPr>
        <w:spacing w:after="40"/>
      </w:pPr>
    </w:p>
    <w:p>
      <w:pPr>
        <w:pStyle w:val="BodyText"/>
        <w:spacing w:after="120" w:line="312" w:lineRule="auto"/>
      </w:pPr>
      <w:r>
        <w:rPr>
          <w:rFonts w:ascii="Microsoft YaHei" w:hAnsi="Microsoft YaHei" w:eastAsia="Microsoft YaHei"/>
          <w:color w:val="000000"/>
          <w:sz w:val="21"/>
        </w:rPr>
        <w:t>红色节点表示AI发现问题，橙色表示材料不足或口径冲突，绿色表示检查正常，灰色表示尚未人工评审。页面同时显示文字和图标，不要求用户只凭颜色判断状态。</w:t>
      </w:r>
    </w:p>
    <w:p>
      <w:pPr>
        <w:pStyle w:val="Heading2"/>
        <w:keepNext/>
        <w:pageBreakBefore w:val="0"/>
      </w:pPr>
      <w:r>
        <w:rPr>
          <w:rFonts w:ascii="Microsoft YaHei" w:hAnsi="Microsoft YaHei" w:eastAsia="Microsoft YaHei"/>
          <w:b/>
          <w:color w:val="000000"/>
          <w:sz w:val="28"/>
        </w:rPr>
        <w:t>6.4 形成逐节点结论</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94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可选结论</w:t>
            </w:r>
          </w:p>
        </w:tc>
        <w:tc>
          <w:tcPr>
            <w:tcW w:type="dxa" w:w="432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何时使用</w:t>
            </w:r>
          </w:p>
        </w:tc>
        <w:tc>
          <w:tcPr>
            <w:tcW w:type="dxa" w:w="36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意见要求</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确认无异常</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来源充分且人工复核无异常</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可使用系统提供的明确复核说明</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确认风险可控</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存在风险但已有充分缓释依据</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必须说明依据</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要求补件</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证据不足或需客户经理补充</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必须写明需要补什么</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转现场核查</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材料无法完成真实性判断</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必须写明核查对象和要求</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不采纳AI判断</w:t>
            </w:r>
          </w:p>
        </w:tc>
        <w:tc>
          <w:tcPr>
            <w:tcW w:type="dxa" w:w="432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AI结论不适用于当前项目</w:t>
            </w:r>
          </w:p>
        </w:tc>
        <w:tc>
          <w:tcPr>
            <w:tcW w:type="dxa" w:w="36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必须说明业务理由</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不适用</w:t>
            </w:r>
          </w:p>
        </w:tc>
        <w:tc>
          <w:tcPr>
            <w:tcW w:type="dxa" w:w="432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该主题或检查确实不适用</w:t>
            </w:r>
          </w:p>
        </w:tc>
        <w:tc>
          <w:tcPr>
            <w:tcW w:type="dxa" w:w="36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必须说明不适用条件</w:t>
            </w:r>
          </w:p>
        </w:tc>
      </w:tr>
    </w:tbl>
    <w:p>
      <w:pPr>
        <w:spacing w:after="40"/>
      </w:pPr>
    </w:p>
    <w:p>
      <w:pPr>
        <w:pStyle w:val="Heading2"/>
        <w:keepNext/>
        <w:pageBreakBefore w:val="0"/>
      </w:pPr>
      <w:r>
        <w:rPr>
          <w:rFonts w:ascii="Microsoft YaHei" w:hAnsi="Microsoft YaHei" w:eastAsia="Microsoft YaHei"/>
          <w:b/>
          <w:color w:val="000000"/>
          <w:sz w:val="28"/>
        </w:rPr>
        <w:t>6.5 退回补件</w:t>
      </w:r>
    </w:p>
    <w:p>
      <w:pPr>
        <w:pStyle w:val="BodyText"/>
        <w:spacing w:after="120" w:line="312" w:lineRule="auto"/>
      </w:pPr>
      <w:r>
        <w:rPr>
          <w:rFonts w:ascii="Microsoft YaHei" w:hAnsi="Microsoft YaHei" w:eastAsia="Microsoft YaHei"/>
          <w:color w:val="000000"/>
          <w:sz w:val="21"/>
        </w:rPr>
        <w:t>评审员完成必要核查后，可以在页面底部填写退回原因。未填写原因时，“退回补充材料”按钮保持禁用；填写后按钮启用。退回决定、原因、评审员、时间和关联运行写入项目记录。</w:t>
      </w:r>
    </w:p>
    <w:p>
      <w:pPr>
        <w:pStyle w:val="ListNumber"/>
        <w:spacing w:after="100" w:line="300" w:lineRule="auto"/>
      </w:pPr>
      <w:r>
        <w:rPr>
          <w:rFonts w:ascii="Microsoft YaHei" w:hAnsi="Microsoft YaHei" w:eastAsia="Microsoft YaHei"/>
          <w:b/>
          <w:color w:val="000000"/>
          <w:sz w:val="20"/>
        </w:rPr>
        <w:t xml:space="preserve">填写退回原因  </w:t>
      </w:r>
      <w:r>
        <w:rPr>
          <w:rFonts w:ascii="Microsoft YaHei" w:hAnsi="Microsoft YaHei" w:eastAsia="Microsoft YaHei"/>
          <w:color w:val="000000"/>
          <w:sz w:val="20"/>
        </w:rPr>
        <w:t>使用业务语言说明缺少的材料、需要澄清的口径或需重新核验的事项。</w:t>
      </w:r>
    </w:p>
    <w:p>
      <w:pPr>
        <w:pStyle w:val="ListNumber"/>
        <w:spacing w:after="100" w:line="300" w:lineRule="auto"/>
      </w:pPr>
      <w:r>
        <w:rPr>
          <w:rFonts w:ascii="Microsoft YaHei" w:hAnsi="Microsoft YaHei" w:eastAsia="Microsoft YaHei"/>
          <w:b/>
          <w:color w:val="000000"/>
          <w:sz w:val="20"/>
        </w:rPr>
        <w:t xml:space="preserve">执行退回  </w:t>
      </w:r>
      <w:r>
        <w:rPr>
          <w:rFonts w:ascii="Microsoft YaHei" w:hAnsi="Microsoft YaHei" w:eastAsia="Microsoft YaHei"/>
          <w:color w:val="000000"/>
          <w:sz w:val="20"/>
        </w:rPr>
        <w:t>点击退回补充材料。项目从评审员待办中结束当前办理，送审版本状态改为已退回。</w:t>
      </w:r>
    </w:p>
    <w:p>
      <w:pPr>
        <w:pStyle w:val="ListNumber"/>
        <w:spacing w:after="100" w:line="300" w:lineRule="auto"/>
      </w:pPr>
      <w:r>
        <w:rPr>
          <w:rFonts w:ascii="Microsoft YaHei" w:hAnsi="Microsoft YaHei" w:eastAsia="Microsoft YaHei"/>
          <w:b/>
          <w:color w:val="000000"/>
          <w:sz w:val="20"/>
        </w:rPr>
        <w:t xml:space="preserve">客户经理接收  </w:t>
      </w:r>
      <w:r>
        <w:rPr>
          <w:rFonts w:ascii="Microsoft YaHei" w:hAnsi="Microsoft YaHei" w:eastAsia="Microsoft YaHei"/>
          <w:color w:val="000000"/>
          <w:sz w:val="20"/>
        </w:rPr>
        <w:t>客户经理工作台出现红色项目卡，直接显示退回原因和时间。</w:t>
      </w:r>
    </w:p>
    <w:p>
      <w:pPr>
        <w:pStyle w:val="ListNumber"/>
        <w:spacing w:after="100" w:line="300" w:lineRule="auto"/>
      </w:pPr>
      <w:r>
        <w:rPr>
          <w:rFonts w:ascii="Microsoft YaHei" w:hAnsi="Microsoft YaHei" w:eastAsia="Microsoft YaHei"/>
          <w:b/>
          <w:color w:val="000000"/>
          <w:sz w:val="20"/>
        </w:rPr>
        <w:t xml:space="preserve">等待重新推送  </w:t>
      </w:r>
      <w:r>
        <w:rPr>
          <w:rFonts w:ascii="Microsoft YaHei" w:hAnsi="Microsoft YaHei" w:eastAsia="Microsoft YaHei"/>
          <w:color w:val="000000"/>
          <w:sz w:val="20"/>
        </w:rPr>
        <w:t>客户经理补件并重新推送后，项目以新送审版本重新进入评审池。</w:t>
      </w:r>
    </w:p>
    <w:p>
      <w:pPr>
        <w:pStyle w:val="Heading2"/>
        <w:keepNext/>
        <w:pageBreakBefore w:val="0"/>
      </w:pPr>
      <w:r>
        <w:rPr>
          <w:rFonts w:ascii="Microsoft YaHei" w:hAnsi="Microsoft YaHei" w:eastAsia="Microsoft YaHei"/>
          <w:b/>
          <w:color w:val="000000"/>
          <w:sz w:val="28"/>
        </w:rPr>
        <w:t>6.6 批准和评审报告</w:t>
      </w:r>
    </w:p>
    <w:p>
      <w:pPr>
        <w:pStyle w:val="BodyText"/>
        <w:spacing w:after="120" w:line="312" w:lineRule="auto"/>
      </w:pPr>
      <w:r>
        <w:rPr>
          <w:rFonts w:ascii="Microsoft YaHei" w:hAnsi="Microsoft YaHei" w:eastAsia="Microsoft YaHei"/>
          <w:color w:val="000000"/>
          <w:sz w:val="21"/>
        </w:rPr>
        <w:t>只有全部必审主题都形成明确人工结论，并且待补件、现场核查和其他阻断事项已经闭环时，系统才允许点击“批准并生成评审报告”。批准后，系统保存最终决定并生成独立评审报告草稿。</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088"/>
            <w:shd w:fill="185C48"/>
            <w:tcMar>
              <w:top w:w="75" w:type="dxa"/>
              <w:start w:w="120" w:type="dxa"/>
              <w:bottom w:w="75" w:type="dxa"/>
              <w:end w:w="120" w:type="dxa"/>
            </w:tcMar>
            <w:vAlign w:val="center"/>
          </w:tcPr>
          <w:p>
            <w:pPr>
              <w:spacing w:after="0" w:line="283" w:lineRule="auto"/>
              <w:jc w:val="center"/>
            </w:pPr>
            <w:r>
              <w:rPr>
                <w:rFonts w:ascii="Microsoft YaHei" w:hAnsi="Microsoft YaHei" w:eastAsia="Microsoft YaHei"/>
                <w:b/>
                <w:color w:val="FFFFFF"/>
                <w:sz w:val="18"/>
              </w:rPr>
              <w:t>批准前检查</w:t>
            </w:r>
          </w:p>
        </w:tc>
        <w:tc>
          <w:tcPr>
            <w:tcW w:type="dxa" w:w="3888"/>
            <w:shd w:fill="185C48"/>
            <w:tcMar>
              <w:top w:w="75" w:type="dxa"/>
              <w:start w:w="120" w:type="dxa"/>
              <w:bottom w:w="75" w:type="dxa"/>
              <w:end w:w="120" w:type="dxa"/>
            </w:tcMar>
            <w:vAlign w:val="center"/>
          </w:tcPr>
          <w:p>
            <w:pPr>
              <w:spacing w:after="0" w:line="283" w:lineRule="auto"/>
              <w:jc w:val="center"/>
            </w:pPr>
            <w:r>
              <w:rPr>
                <w:rFonts w:ascii="Microsoft YaHei" w:hAnsi="Microsoft YaHei" w:eastAsia="Microsoft YaHei"/>
                <w:b/>
                <w:color w:val="FFFFFF"/>
                <w:sz w:val="18"/>
              </w:rPr>
              <w:t>通过条件</w:t>
            </w:r>
          </w:p>
        </w:tc>
        <w:tc>
          <w:tcPr>
            <w:tcW w:type="dxa" w:w="3888"/>
            <w:shd w:fill="185C48"/>
            <w:tcMar>
              <w:top w:w="75" w:type="dxa"/>
              <w:start w:w="120" w:type="dxa"/>
              <w:bottom w:w="75" w:type="dxa"/>
              <w:end w:w="120" w:type="dxa"/>
            </w:tcMar>
            <w:vAlign w:val="center"/>
          </w:tcPr>
          <w:p>
            <w:pPr>
              <w:spacing w:after="0" w:line="283" w:lineRule="auto"/>
              <w:jc w:val="center"/>
            </w:pPr>
            <w:r>
              <w:rPr>
                <w:rFonts w:ascii="Microsoft YaHei" w:hAnsi="Microsoft YaHei" w:eastAsia="Microsoft YaHei"/>
                <w:b/>
                <w:color w:val="FFFFFF"/>
                <w:sz w:val="18"/>
              </w:rPr>
              <w:t>未通过时处理</w:t>
            </w:r>
          </w:p>
        </w:tc>
      </w:tr>
      <w:tr>
        <w:trPr>
          <w:cantSplit/>
        </w:trPr>
        <w:tc>
          <w:tcPr>
            <w:tcW w:type="dxa" w:w="208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val="0"/>
                <w:color w:val="000000"/>
                <w:sz w:val="17"/>
              </w:rPr>
              <w:t>必审主题</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六个主题均有人工结论</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返回未完成节点补充结论</w:t>
            </w:r>
          </w:p>
        </w:tc>
      </w:tr>
      <w:tr>
        <w:trPr>
          <w:cantSplit/>
        </w:trPr>
        <w:tc>
          <w:tcPr>
            <w:tcW w:type="dxa" w:w="2088"/>
            <w:tcMar>
              <w:top w:w="70" w:type="dxa"/>
              <w:start w:w="120" w:type="dxa"/>
              <w:bottom w:w="70" w:type="dxa"/>
              <w:end w:w="120" w:type="dxa"/>
            </w:tcMar>
            <w:shd w:fill="F5F6F6"/>
            <w:vAlign w:val="center"/>
          </w:tcPr>
          <w:p>
            <w:pPr>
              <w:spacing w:after="0" w:line="283" w:lineRule="auto"/>
              <w:jc w:val="center"/>
            </w:pPr>
            <w:r>
              <w:rPr>
                <w:rFonts w:ascii="Microsoft YaHei" w:hAnsi="Microsoft YaHei" w:eastAsia="Microsoft YaHei"/>
                <w:b w:val="0"/>
                <w:color w:val="000000"/>
                <w:sz w:val="17"/>
              </w:rPr>
              <w:t>证据来源</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关键判断均有关联材料或数据字段</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打开来源补充或纠正证据</w:t>
            </w:r>
          </w:p>
        </w:tc>
      </w:tr>
      <w:tr>
        <w:trPr>
          <w:cantSplit/>
        </w:trPr>
        <w:tc>
          <w:tcPr>
            <w:tcW w:type="dxa" w:w="208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val="0"/>
                <w:color w:val="000000"/>
                <w:sz w:val="17"/>
              </w:rPr>
              <w:t>补件事项</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待补件问题已经关闭</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退回客户经理继续补件</w:t>
            </w:r>
          </w:p>
        </w:tc>
      </w:tr>
      <w:tr>
        <w:trPr>
          <w:cantSplit/>
        </w:trPr>
        <w:tc>
          <w:tcPr>
            <w:tcW w:type="dxa" w:w="2088"/>
            <w:tcMar>
              <w:top w:w="70" w:type="dxa"/>
              <w:start w:w="120" w:type="dxa"/>
              <w:bottom w:w="70" w:type="dxa"/>
              <w:end w:w="120" w:type="dxa"/>
            </w:tcMar>
            <w:shd w:fill="F5F6F6"/>
            <w:vAlign w:val="center"/>
          </w:tcPr>
          <w:p>
            <w:pPr>
              <w:spacing w:after="0" w:line="283" w:lineRule="auto"/>
              <w:jc w:val="center"/>
            </w:pPr>
            <w:r>
              <w:rPr>
                <w:rFonts w:ascii="Microsoft YaHei" w:hAnsi="Microsoft YaHei" w:eastAsia="Microsoft YaHei"/>
                <w:b w:val="0"/>
                <w:color w:val="000000"/>
                <w:sz w:val="17"/>
              </w:rPr>
              <w:t>现场核查</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核查结果已记录并形成结论</w:t>
            </w:r>
          </w:p>
        </w:tc>
        <w:tc>
          <w:tcPr>
            <w:tcW w:type="dxa" w:w="3888"/>
            <w:tcMar>
              <w:top w:w="70" w:type="dxa"/>
              <w:start w:w="120" w:type="dxa"/>
              <w:bottom w:w="70" w:type="dxa"/>
              <w:end w:w="120" w:type="dxa"/>
            </w:tcMar>
            <w:shd w:fill="F5F6F6"/>
            <w:vAlign w:val="center"/>
          </w:tcPr>
          <w:p>
            <w:pPr>
              <w:spacing w:after="0" w:line="283" w:lineRule="auto"/>
              <w:jc w:val="left"/>
            </w:pPr>
            <w:r>
              <w:rPr>
                <w:rFonts w:ascii="Microsoft YaHei" w:hAnsi="Microsoft YaHei" w:eastAsia="Microsoft YaHei"/>
                <w:b w:val="0"/>
                <w:color w:val="000000"/>
                <w:sz w:val="17"/>
              </w:rPr>
              <w:t>保持阻断 不允许批准</w:t>
            </w:r>
          </w:p>
        </w:tc>
      </w:tr>
      <w:tr>
        <w:trPr>
          <w:cantSplit/>
        </w:trPr>
        <w:tc>
          <w:tcPr>
            <w:tcW w:type="dxa" w:w="2088"/>
            <w:tcMar>
              <w:top w:w="70" w:type="dxa"/>
              <w:start w:w="120" w:type="dxa"/>
              <w:bottom w:w="70" w:type="dxa"/>
              <w:end w:w="120" w:type="dxa"/>
            </w:tcMar>
            <w:vAlign w:val="center"/>
          </w:tcPr>
          <w:p>
            <w:pPr>
              <w:spacing w:after="0" w:line="283" w:lineRule="auto"/>
              <w:jc w:val="center"/>
            </w:pPr>
            <w:r>
              <w:rPr>
                <w:rFonts w:ascii="Microsoft YaHei" w:hAnsi="Microsoft YaHei" w:eastAsia="Microsoft YaHei"/>
                <w:b w:val="0"/>
                <w:color w:val="000000"/>
                <w:sz w:val="17"/>
              </w:rPr>
              <w:t>报告来源</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报告章节引用当前独立评审运行</w:t>
            </w:r>
          </w:p>
        </w:tc>
        <w:tc>
          <w:tcPr>
            <w:tcW w:type="dxa" w:w="3888"/>
            <w:tcMar>
              <w:top w:w="70" w:type="dxa"/>
              <w:start w:w="120" w:type="dxa"/>
              <w:bottom w:w="70" w:type="dxa"/>
              <w:end w:w="120" w:type="dxa"/>
            </w:tcMar>
            <w:vAlign w:val="center"/>
          </w:tcPr>
          <w:p>
            <w:pPr>
              <w:spacing w:after="0" w:line="283" w:lineRule="auto"/>
              <w:jc w:val="left"/>
            </w:pPr>
            <w:r>
              <w:rPr>
                <w:rFonts w:ascii="Microsoft YaHei" w:hAnsi="Microsoft YaHei" w:eastAsia="Microsoft YaHei"/>
                <w:b w:val="0"/>
                <w:color w:val="000000"/>
                <w:sz w:val="17"/>
              </w:rPr>
              <w:t>重新生成候选并核对版本</w:t>
            </w:r>
          </w:p>
        </w:tc>
      </w:tr>
    </w:tbl>
    <w:p>
      <w:pPr>
        <w:spacing w:after="40"/>
      </w:pPr>
    </w:p>
    <w:p>
      <w:pPr>
        <w:pStyle w:val="ListBullet"/>
        <w:spacing w:after="60" w:line="293" w:lineRule="auto"/>
      </w:pPr>
      <w:r>
        <w:rPr>
          <w:rFonts w:ascii="Microsoft YaHei" w:hAnsi="Microsoft YaHei" w:eastAsia="Microsoft YaHei"/>
          <w:color w:val="000000"/>
          <w:sz w:val="20"/>
        </w:rPr>
        <w:t>独立评审报告与客户经理AI预审报告分别保存，二者的来源运行不同。</w:t>
      </w:r>
    </w:p>
    <w:p>
      <w:pPr>
        <w:pStyle w:val="ListBullet"/>
        <w:spacing w:after="60" w:line="293" w:lineRule="auto"/>
      </w:pPr>
      <w:r>
        <w:rPr>
          <w:rFonts w:ascii="Microsoft YaHei" w:hAnsi="Microsoft YaHei" w:eastAsia="Microsoft YaHei"/>
          <w:color w:val="000000"/>
          <w:sz w:val="20"/>
        </w:rPr>
        <w:t>报告按业务主题汇总数据来源、AI判断、评审员结论和意见。</w:t>
      </w:r>
    </w:p>
    <w:p>
      <w:pPr>
        <w:pStyle w:val="ListBullet"/>
        <w:spacing w:after="60" w:line="293" w:lineRule="auto"/>
      </w:pPr>
      <w:r>
        <w:rPr>
          <w:rFonts w:ascii="Microsoft YaHei" w:hAnsi="Microsoft YaHei" w:eastAsia="Microsoft YaHei"/>
          <w:color w:val="000000"/>
          <w:sz w:val="20"/>
        </w:rPr>
        <w:t>评审员可按模板生成上会摘要，最终定稿仍由授权人员确认。</w:t>
      </w:r>
    </w:p>
    <w:p>
      <w:pPr>
        <w:pStyle w:val="Heading1"/>
        <w:keepNext/>
        <w:pageBreakBefore/>
      </w:pPr>
      <w:r>
        <w:rPr>
          <w:rFonts w:ascii="Microsoft YaHei" w:hAnsi="Microsoft YaHei" w:eastAsia="Microsoft YaHei"/>
          <w:b/>
          <w:color w:val="000000"/>
          <w:sz w:val="36"/>
        </w:rPr>
        <w:t>7 配置管理员业务流程</w:t>
      </w:r>
    </w:p>
    <w:p>
      <w:pPr>
        <w:pStyle w:val="BodyText"/>
        <w:spacing w:after="120" w:line="312" w:lineRule="auto"/>
      </w:pPr>
      <w:r>
        <w:rPr>
          <w:rFonts w:ascii="Microsoft YaHei" w:hAnsi="Microsoft YaHei" w:eastAsia="Microsoft YaHei"/>
          <w:color w:val="000000"/>
          <w:sz w:val="21"/>
        </w:rPr>
        <w:t>配置管理员负责建立业务可用的数据和能力边界，不代替客户经理或评审员作项目判断。配置工作从连接开始，依次形成数据卡、Skills、规则和研判方案，再经过测试、评测和发布供业务人员选择。</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rPr>
          <w:tblHeader w:val="true"/>
        </w:trP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配置连接</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建立数据卡</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配置Skills</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配置规则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组合方案</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审核发布</w:t>
            </w:r>
          </w:p>
        </w:tc>
      </w:tr>
    </w:tbl>
    <w:p>
      <w:pPr>
        <w:spacing w:after="20"/>
      </w:pPr>
    </w:p>
    <w:p>
      <w:pPr>
        <w:pStyle w:val="Heading2"/>
        <w:keepNext/>
        <w:pageBreakBefore w:val="0"/>
      </w:pPr>
      <w:r>
        <w:rPr>
          <w:rFonts w:ascii="Microsoft YaHei" w:hAnsi="Microsoft YaHei" w:eastAsia="Microsoft YaHei"/>
          <w:b/>
          <w:color w:val="000000"/>
          <w:sz w:val="28"/>
        </w:rPr>
        <w:t>7.1 数据连接</w:t>
      </w:r>
    </w:p>
    <w:p>
      <w:pPr>
        <w:pStyle w:val="ListBullet"/>
        <w:spacing w:after="60" w:line="293" w:lineRule="auto"/>
      </w:pPr>
      <w:r>
        <w:rPr>
          <w:rFonts w:ascii="Microsoft YaHei" w:hAnsi="Microsoft YaHei" w:eastAsia="Microsoft YaHei"/>
          <w:color w:val="000000"/>
          <w:sz w:val="20"/>
        </w:rPr>
        <w:t>一个数据域统一维护连接，不为每个业务人员复制数据库账号。</w:t>
      </w:r>
    </w:p>
    <w:p>
      <w:pPr>
        <w:pStyle w:val="ListBullet"/>
        <w:spacing w:after="60" w:line="293" w:lineRule="auto"/>
      </w:pPr>
      <w:r>
        <w:rPr>
          <w:rFonts w:ascii="Microsoft YaHei" w:hAnsi="Microsoft YaHei" w:eastAsia="Microsoft YaHei"/>
          <w:color w:val="000000"/>
          <w:sz w:val="20"/>
        </w:rPr>
        <w:t>当前演示库使用SQLite；正式环境可配置PostgreSQL或MySQL只读连接。</w:t>
      </w:r>
    </w:p>
    <w:p>
      <w:pPr>
        <w:pStyle w:val="ListBullet"/>
        <w:spacing w:after="60" w:line="293" w:lineRule="auto"/>
      </w:pPr>
      <w:r>
        <w:rPr>
          <w:rFonts w:ascii="Microsoft YaHei" w:hAnsi="Microsoft YaHei" w:eastAsia="Microsoft YaHei"/>
          <w:color w:val="000000"/>
          <w:sz w:val="20"/>
        </w:rPr>
        <w:t>连接限定允许访问的表、查询超时和最大行数。</w:t>
      </w:r>
    </w:p>
    <w:p>
      <w:pPr>
        <w:pStyle w:val="ListBullet"/>
        <w:spacing w:after="60" w:line="293" w:lineRule="auto"/>
      </w:pPr>
      <w:r>
        <w:rPr>
          <w:rFonts w:ascii="Microsoft YaHei" w:hAnsi="Microsoft YaHei" w:eastAsia="Microsoft YaHei"/>
          <w:color w:val="000000"/>
          <w:sz w:val="20"/>
        </w:rPr>
        <w:t>密码和令牌只能引用服务器环境变量，不能写入连接对象。</w:t>
      </w:r>
    </w:p>
    <w:p>
      <w:pPr>
        <w:pStyle w:val="Heading2"/>
        <w:keepNext/>
        <w:pageBreakBefore w:val="0"/>
      </w:pPr>
      <w:r>
        <w:rPr>
          <w:rFonts w:ascii="Microsoft YaHei" w:hAnsi="Microsoft YaHei" w:eastAsia="Microsoft YaHei"/>
          <w:b/>
          <w:color w:val="000000"/>
          <w:sz w:val="28"/>
        </w:rPr>
        <w:t>7.2 数据卡和受控SQL</w:t>
      </w:r>
    </w:p>
    <w:p>
      <w:pPr>
        <w:pStyle w:val="BodyText"/>
        <w:spacing w:after="120" w:line="312" w:lineRule="auto"/>
      </w:pPr>
      <w:r>
        <w:rPr>
          <w:rFonts w:ascii="Microsoft YaHei" w:hAnsi="Microsoft YaHei" w:eastAsia="Microsoft YaHei"/>
          <w:color w:val="000000"/>
          <w:sz w:val="21"/>
        </w:rPr>
        <w:t>数据卡把源系统表和字段映射为统一业务字段。它可以通过一条参数化SELECT或WITH SELECT关联多张表，项目条件由服务端参数 :project_id 提供。系统禁止字符串拼接、写操作和访问白名单之外的表。</w:t>
      </w:r>
    </w:p>
    <w:p>
      <w:pPr>
        <w:pStyle w:val="ListNumber"/>
        <w:spacing w:after="100" w:line="300" w:lineRule="auto"/>
      </w:pPr>
      <w:r>
        <w:rPr>
          <w:rFonts w:ascii="Microsoft YaHei" w:hAnsi="Microsoft YaHei" w:eastAsia="Microsoft YaHei"/>
          <w:b/>
          <w:color w:val="000000"/>
          <w:sz w:val="20"/>
        </w:rPr>
        <w:t xml:space="preserve">选择连接  </w:t>
      </w:r>
      <w:r>
        <w:rPr>
          <w:rFonts w:ascii="Microsoft YaHei" w:hAnsi="Microsoft YaHei" w:eastAsia="Microsoft YaHei"/>
          <w:color w:val="000000"/>
          <w:sz w:val="20"/>
        </w:rPr>
        <w:t>复用已发布的只读数据连接。</w:t>
      </w:r>
    </w:p>
    <w:p>
      <w:pPr>
        <w:pStyle w:val="ListNumber"/>
        <w:spacing w:after="100" w:line="300" w:lineRule="auto"/>
      </w:pPr>
      <w:r>
        <w:rPr>
          <w:rFonts w:ascii="Microsoft YaHei" w:hAnsi="Microsoft YaHei" w:eastAsia="Microsoft YaHei"/>
          <w:b/>
          <w:color w:val="000000"/>
          <w:sz w:val="20"/>
        </w:rPr>
        <w:t xml:space="preserve">定义粒度  </w:t>
      </w:r>
      <w:r>
        <w:rPr>
          <w:rFonts w:ascii="Microsoft YaHei" w:hAnsi="Microsoft YaHei" w:eastAsia="Microsoft YaHei"/>
          <w:color w:val="000000"/>
          <w:sz w:val="20"/>
        </w:rPr>
        <w:t>明确项目、期间、报表口径、单位和唯一性。</w:t>
      </w:r>
    </w:p>
    <w:p>
      <w:pPr>
        <w:pStyle w:val="ListNumber"/>
        <w:spacing w:after="100" w:line="300" w:lineRule="auto"/>
      </w:pPr>
      <w:r>
        <w:rPr>
          <w:rFonts w:ascii="Microsoft YaHei" w:hAnsi="Microsoft YaHei" w:eastAsia="Microsoft YaHei"/>
          <w:b/>
          <w:color w:val="000000"/>
          <w:sz w:val="20"/>
        </w:rPr>
        <w:t xml:space="preserve">配置SQL  </w:t>
      </w:r>
      <w:r>
        <w:rPr>
          <w:rFonts w:ascii="Microsoft YaHei" w:hAnsi="Microsoft YaHei" w:eastAsia="Microsoft YaHei"/>
          <w:color w:val="000000"/>
          <w:sz w:val="20"/>
        </w:rPr>
        <w:t>使用 :project_id 作为项目参数，只查询必要字段。</w:t>
      </w:r>
    </w:p>
    <w:p>
      <w:pPr>
        <w:pStyle w:val="ListNumber"/>
        <w:spacing w:after="100" w:line="300" w:lineRule="auto"/>
      </w:pPr>
      <w:r>
        <w:rPr>
          <w:rFonts w:ascii="Microsoft YaHei" w:hAnsi="Microsoft YaHei" w:eastAsia="Microsoft YaHei"/>
          <w:b/>
          <w:color w:val="000000"/>
          <w:sz w:val="20"/>
        </w:rPr>
        <w:t xml:space="preserve">映射标准字段  </w:t>
      </w:r>
      <w:r>
        <w:rPr>
          <w:rFonts w:ascii="Microsoft YaHei" w:hAnsi="Microsoft YaHei" w:eastAsia="Microsoft YaHei"/>
          <w:color w:val="000000"/>
          <w:sz w:val="20"/>
        </w:rPr>
        <w:t>把源字段映射到项目、财务、租赁物、征信、增信和还款等标准字段。</w:t>
      </w:r>
    </w:p>
    <w:p>
      <w:pPr>
        <w:pStyle w:val="ListNumber"/>
        <w:spacing w:after="100" w:line="300" w:lineRule="auto"/>
      </w:pPr>
      <w:r>
        <w:rPr>
          <w:rFonts w:ascii="Microsoft YaHei" w:hAnsi="Microsoft YaHei" w:eastAsia="Microsoft YaHei"/>
          <w:b/>
          <w:color w:val="000000"/>
          <w:sz w:val="20"/>
        </w:rPr>
        <w:t xml:space="preserve">测试版本  </w:t>
      </w:r>
      <w:r>
        <w:rPr>
          <w:rFonts w:ascii="Microsoft YaHei" w:hAnsi="Microsoft YaHei" w:eastAsia="Microsoft YaHei"/>
          <w:color w:val="000000"/>
          <w:sz w:val="20"/>
        </w:rPr>
        <w:t>用授权项目测试已保存版本，确认行数、口径和来源定位。</w:t>
      </w:r>
    </w:p>
    <w:p>
      <w:pPr>
        <w:pStyle w:val="Heading2"/>
        <w:keepNext/>
        <w:pageBreakBefore w:val="0"/>
      </w:pPr>
      <w:r>
        <w:rPr>
          <w:rFonts w:ascii="Microsoft YaHei" w:hAnsi="Microsoft YaHei" w:eastAsia="Microsoft YaHei"/>
          <w:b/>
          <w:color w:val="000000"/>
          <w:sz w:val="28"/>
        </w:rPr>
        <w:t>7.3 Skills能力库</w:t>
      </w:r>
    </w:p>
    <w:p>
      <w:pPr>
        <w:pStyle w:val="BodyText"/>
        <w:spacing w:after="120" w:line="312" w:lineRule="auto"/>
      </w:pPr>
      <w:r>
        <w:rPr>
          <w:rFonts w:ascii="Microsoft YaHei" w:hAnsi="Microsoft YaHei" w:eastAsia="Microsoft YaHei"/>
          <w:color w:val="000000"/>
          <w:sz w:val="21"/>
        </w:rPr>
        <w:t>Skills定义如何检查项目事实。确定性Skill用于必填、比对、重复和比率计算；模型Skill通过mini-openclaw读取受控快照和方法文件。系统不接受上传任意Python或Shell脚本。</w:t>
      </w:r>
    </w:p>
    <w:p>
      <w:pPr>
        <w:pStyle w:val="ListBullet"/>
        <w:spacing w:after="60" w:line="293" w:lineRule="auto"/>
      </w:pPr>
      <w:r>
        <w:rPr>
          <w:rFonts w:ascii="Microsoft YaHei" w:hAnsi="Microsoft YaHei" w:eastAsia="Microsoft YaHei"/>
          <w:color w:val="000000"/>
          <w:sz w:val="20"/>
        </w:rPr>
        <w:t>可从本地文件夹导入一个或多个SKILL.md。系统只读取SKILL.md，不执行目录中的脚本。</w:t>
      </w:r>
    </w:p>
    <w:p>
      <w:pPr>
        <w:pStyle w:val="ListBullet"/>
        <w:spacing w:after="60" w:line="293" w:lineRule="auto"/>
      </w:pPr>
      <w:r>
        <w:rPr>
          <w:rFonts w:ascii="Microsoft YaHei" w:hAnsi="Microsoft YaHei" w:eastAsia="Microsoft YaHei"/>
          <w:color w:val="000000"/>
          <w:sz w:val="20"/>
        </w:rPr>
        <w:t>演示预览导入后可直接发布；正式环境导入为草稿，需要独立审核。</w:t>
      </w:r>
    </w:p>
    <w:p>
      <w:pPr>
        <w:pStyle w:val="ListBullet"/>
        <w:spacing w:after="60" w:line="293" w:lineRule="auto"/>
      </w:pPr>
      <w:r>
        <w:rPr>
          <w:rFonts w:ascii="Microsoft YaHei" w:hAnsi="Microsoft YaHei" w:eastAsia="Microsoft YaHei"/>
          <w:color w:val="000000"/>
          <w:sz w:val="20"/>
        </w:rPr>
        <w:t>原生Skill文件、版本和内容哈希随运行冻结，后续修改不影响历史运行。</w:t>
      </w:r>
    </w:p>
    <w:p>
      <w:pPr>
        <w:pStyle w:val="Heading2"/>
        <w:keepNext/>
        <w:pageBreakBefore w:val="0"/>
      </w:pPr>
      <w:r>
        <w:rPr>
          <w:rFonts w:ascii="Microsoft YaHei" w:hAnsi="Microsoft YaHei" w:eastAsia="Microsoft YaHei"/>
          <w:b/>
          <w:color w:val="000000"/>
          <w:sz w:val="28"/>
        </w:rPr>
        <w:t>7.4 规则集 方案和报告模板</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7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组件</w:t>
            </w:r>
          </w:p>
        </w:tc>
        <w:tc>
          <w:tcPr>
            <w:tcW w:type="dxa" w:w="460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配置内容</w:t>
            </w:r>
          </w:p>
        </w:tc>
        <w:tc>
          <w:tcPr>
            <w:tcW w:type="dxa" w:w="35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业务作用</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规则集</w:t>
            </w:r>
          </w:p>
        </w:tc>
        <w:tc>
          <w:tcPr>
            <w:tcW w:type="dxa" w:w="460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标准字段 条件 运算符 阈值 标题和建议动作</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执行确定性制度检查</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研判方案</w:t>
            </w:r>
          </w:p>
        </w:tc>
        <w:tc>
          <w:tcPr>
            <w:tcW w:type="dxa" w:w="460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数据卡 Skills 规则集 模板 角色和运行预算</w:t>
            </w:r>
          </w:p>
        </w:tc>
        <w:tc>
          <w:tcPr>
            <w:tcW w:type="dxa" w:w="352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形成业务人员的一键运行入口</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报告模板</w:t>
            </w:r>
          </w:p>
        </w:tc>
        <w:tc>
          <w:tcPr>
            <w:tcW w:type="dxa" w:w="460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固定章节 依赖字段和适用角色</w:t>
            </w:r>
          </w:p>
        </w:tc>
        <w:tc>
          <w:tcPr>
            <w:tcW w:type="dxa" w:w="352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决定报告结构 不改变业务事实</w:t>
            </w:r>
          </w:p>
        </w:tc>
      </w:tr>
    </w:tbl>
    <w:p>
      <w:pPr>
        <w:spacing w:after="40"/>
      </w:pPr>
    </w:p>
    <w:p>
      <w:pPr>
        <w:pStyle w:val="Heading2"/>
        <w:keepNext/>
        <w:pageBreakBefore w:val="0"/>
      </w:pPr>
      <w:r>
        <w:rPr>
          <w:rFonts w:ascii="Microsoft YaHei" w:hAnsi="Microsoft YaHei" w:eastAsia="Microsoft YaHei"/>
          <w:b/>
          <w:color w:val="000000"/>
          <w:sz w:val="28"/>
        </w:rPr>
        <w:t>7.5 模型与运行配置</w:t>
      </w:r>
    </w:p>
    <w:p>
      <w:pPr>
        <w:pStyle w:val="BodyText"/>
        <w:spacing w:after="120" w:line="312" w:lineRule="auto"/>
      </w:pPr>
      <w:r>
        <w:rPr>
          <w:rFonts w:ascii="Microsoft YaHei" w:hAnsi="Microsoft YaHei" w:eastAsia="Microsoft YaHei"/>
          <w:color w:val="000000"/>
          <w:sz w:val="21"/>
        </w:rPr>
        <w:t>当前演示部署通过服务器环境变量配置内网模型URL、模型名称和Key，页面不展示明文Key。模型只能访问当前任务允许的项目快照、材料、程序检查、方法和经验，不提供SQL、终端或外部写入工具。未配置模型时，模型步骤明确失败，已完成的确定性结果继续保留。</w:t>
      </w:r>
    </w:p>
    <w:p>
      <w:pPr>
        <w:pStyle w:val="Heading2"/>
        <w:keepNext/>
        <w:pageBreakBefore w:val="0"/>
      </w:pPr>
      <w:r>
        <w:rPr>
          <w:rFonts w:ascii="Microsoft YaHei" w:hAnsi="Microsoft YaHei" w:eastAsia="Microsoft YaHei"/>
          <w:b/>
          <w:color w:val="000000"/>
          <w:sz w:val="28"/>
        </w:rPr>
        <w:t>7.6 发布和回退</w:t>
      </w:r>
    </w:p>
    <w:p>
      <w:pPr>
        <w:pStyle w:val="ListNumber"/>
        <w:spacing w:after="100" w:line="300" w:lineRule="auto"/>
      </w:pPr>
      <w:r>
        <w:rPr>
          <w:rFonts w:ascii="Microsoft YaHei" w:hAnsi="Microsoft YaHei" w:eastAsia="Microsoft YaHei"/>
          <w:b/>
          <w:color w:val="000000"/>
          <w:sz w:val="20"/>
        </w:rPr>
        <w:t xml:space="preserve">保存草稿  </w:t>
      </w:r>
      <w:r>
        <w:rPr>
          <w:rFonts w:ascii="Microsoft YaHei" w:hAnsi="Microsoft YaHei" w:eastAsia="Microsoft YaHei"/>
          <w:color w:val="000000"/>
          <w:sz w:val="20"/>
        </w:rPr>
        <w:t>新建或修改组件时先保存草稿，不影响已发布版本。</w:t>
      </w:r>
    </w:p>
    <w:p>
      <w:pPr>
        <w:pStyle w:val="ListNumber"/>
        <w:spacing w:after="100" w:line="300" w:lineRule="auto"/>
      </w:pPr>
      <w:r>
        <w:rPr>
          <w:rFonts w:ascii="Microsoft YaHei" w:hAnsi="Microsoft YaHei" w:eastAsia="Microsoft YaHei"/>
          <w:b/>
          <w:color w:val="000000"/>
          <w:sz w:val="20"/>
        </w:rPr>
        <w:t xml:space="preserve">依赖检查  </w:t>
      </w:r>
      <w:r>
        <w:rPr>
          <w:rFonts w:ascii="Microsoft YaHei" w:hAnsi="Microsoft YaHei" w:eastAsia="Microsoft YaHei"/>
          <w:color w:val="000000"/>
          <w:sz w:val="20"/>
        </w:rPr>
        <w:t>确认Skill输入由数据卡提供，方案引用的组件均已发布。</w:t>
      </w:r>
    </w:p>
    <w:p>
      <w:pPr>
        <w:pStyle w:val="ListNumber"/>
        <w:spacing w:after="100" w:line="300" w:lineRule="auto"/>
      </w:pPr>
      <w:r>
        <w:rPr>
          <w:rFonts w:ascii="Microsoft YaHei" w:hAnsi="Microsoft YaHei" w:eastAsia="Microsoft YaHei"/>
          <w:b/>
          <w:color w:val="000000"/>
          <w:sz w:val="20"/>
        </w:rPr>
        <w:t xml:space="preserve">隔离评测  </w:t>
      </w:r>
      <w:r>
        <w:rPr>
          <w:rFonts w:ascii="Microsoft YaHei" w:hAnsi="Microsoft YaHei" w:eastAsia="Microsoft YaHei"/>
          <w:color w:val="000000"/>
          <w:sz w:val="20"/>
        </w:rPr>
        <w:t>使用正例和反例验证候选版本，不用生产项目直接试错。</w:t>
      </w:r>
    </w:p>
    <w:p>
      <w:pPr>
        <w:pStyle w:val="ListNumber"/>
        <w:spacing w:after="100" w:line="300" w:lineRule="auto"/>
      </w:pPr>
      <w:r>
        <w:rPr>
          <w:rFonts w:ascii="Microsoft YaHei" w:hAnsi="Microsoft YaHei" w:eastAsia="Microsoft YaHei"/>
          <w:b/>
          <w:color w:val="000000"/>
          <w:sz w:val="20"/>
        </w:rPr>
        <w:t xml:space="preserve">独立审核  </w:t>
      </w:r>
      <w:r>
        <w:rPr>
          <w:rFonts w:ascii="Microsoft YaHei" w:hAnsi="Microsoft YaHei" w:eastAsia="Microsoft YaHei"/>
          <w:color w:val="000000"/>
          <w:sz w:val="20"/>
        </w:rPr>
        <w:t>正式环境由不同人员审核后发布。</w:t>
      </w:r>
    </w:p>
    <w:p>
      <w:pPr>
        <w:pStyle w:val="ListNumber"/>
        <w:spacing w:after="100" w:line="300" w:lineRule="auto"/>
      </w:pPr>
      <w:r>
        <w:rPr>
          <w:rFonts w:ascii="Microsoft YaHei" w:hAnsi="Microsoft YaHei" w:eastAsia="Microsoft YaHei"/>
          <w:b/>
          <w:color w:val="000000"/>
          <w:sz w:val="20"/>
        </w:rPr>
        <w:t xml:space="preserve">归档或回退  </w:t>
      </w:r>
      <w:r>
        <w:rPr>
          <w:rFonts w:ascii="Microsoft YaHei" w:hAnsi="Microsoft YaHei" w:eastAsia="Microsoft YaHei"/>
          <w:color w:val="000000"/>
          <w:sz w:val="20"/>
        </w:rPr>
        <w:t>停止新任务使用该版本，历史运行仍能读取被冻结版本。</w:t>
      </w:r>
    </w:p>
    <w:p>
      <w:pPr>
        <w:pStyle w:val="Heading1"/>
        <w:keepNext/>
        <w:pageBreakBefore/>
      </w:pPr>
      <w:r>
        <w:rPr>
          <w:rFonts w:ascii="Microsoft YaHei" w:hAnsi="Microsoft YaHei" w:eastAsia="Microsoft YaHei"/>
          <w:b/>
          <w:color w:val="000000"/>
          <w:sz w:val="36"/>
        </w:rPr>
        <w:t>8 数据和结果可追溯</w:t>
      </w:r>
    </w:p>
    <w:p>
      <w:pPr>
        <w:pStyle w:val="BodyText"/>
        <w:spacing w:after="120" w:line="312" w:lineRule="auto"/>
      </w:pPr>
      <w:r>
        <w:rPr>
          <w:rFonts w:ascii="Microsoft YaHei" w:hAnsi="Microsoft YaHei" w:eastAsia="Microsoft YaHei"/>
          <w:color w:val="000000"/>
          <w:sz w:val="21"/>
        </w:rPr>
        <w:t>可追溯不是在页面末尾附一个技术编号，而是让每个业务结论都能沿同一条链回到输入和人工决定。系统在运行排队时冻结配置，在完成时保存结果快照，并把问题、报告和评审结论连接到对应运行。</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rPr>
          <w:tblHeader w:val="true"/>
        </w:trP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原始材料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数据卡字段</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冻结快照</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Skill和规则</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AI或机器结果</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人工结论和报告</w:t>
            </w:r>
          </w:p>
        </w:tc>
      </w:tr>
    </w:tbl>
    <w:p>
      <w:pPr>
        <w:spacing w:after="20"/>
      </w:pPr>
    </w:p>
    <w:p>
      <w:pPr>
        <w:pStyle w:val="Heading2"/>
        <w:keepNext/>
        <w:pageBreakBefore w:val="0"/>
      </w:pPr>
      <w:r>
        <w:rPr>
          <w:rFonts w:ascii="Microsoft YaHei" w:hAnsi="Microsoft YaHei" w:eastAsia="Microsoft YaHei"/>
          <w:b/>
          <w:color w:val="000000"/>
          <w:sz w:val="28"/>
        </w:rPr>
        <w:t>8.1 追溯对象</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72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对象</w:t>
            </w:r>
          </w:p>
        </w:tc>
        <w:tc>
          <w:tcPr>
            <w:tcW w:type="dxa" w:w="453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保留内容</w:t>
            </w:r>
          </w:p>
        </w:tc>
        <w:tc>
          <w:tcPr>
            <w:tcW w:type="dxa" w:w="388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用户如何查看</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材料</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文件版本 内容哈希 解析状态和定位</w:t>
            </w:r>
          </w:p>
        </w:tc>
        <w:tc>
          <w:tcPr>
            <w:tcW w:type="dxa" w:w="38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材料与问题页查看解析或下载原件</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数据字段</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值 单位 期间 口径 来源和确认人</w:t>
            </w:r>
          </w:p>
        </w:tc>
        <w:tc>
          <w:tcPr>
            <w:tcW w:type="dxa" w:w="38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来源卡查看字段定位</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运行</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运行编号 状态 方案和组件版本</w:t>
            </w:r>
          </w:p>
        </w:tc>
        <w:tc>
          <w:tcPr>
            <w:tcW w:type="dxa" w:w="38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检查历史或时间轨迹</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问题</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问题码 证据 规则 建议和状态历史</w:t>
            </w:r>
          </w:p>
        </w:tc>
        <w:tc>
          <w:tcPr>
            <w:tcW w:type="dxa" w:w="38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问题卡和技术追溯</w:t>
            </w:r>
          </w:p>
        </w:tc>
      </w:tr>
      <w:tr>
        <w:trPr>
          <w:cantSplit/>
        </w:trPr>
        <w:tc>
          <w:tcPr>
            <w:tcW w:type="dxa" w:w="1728"/>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评审决定</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节点 结论 意见 评审员 时间和证据引用</w:t>
            </w:r>
          </w:p>
        </w:tc>
        <w:tc>
          <w:tcPr>
            <w:tcW w:type="dxa" w:w="388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全链路评审和报告</w:t>
            </w:r>
          </w:p>
        </w:tc>
      </w:tr>
      <w:tr>
        <w:trPr>
          <w:cantSplit/>
        </w:trPr>
        <w:tc>
          <w:tcPr>
            <w:tcW w:type="dxa" w:w="1728"/>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模板版本 来源快照 章节和锁定状态</w:t>
            </w:r>
          </w:p>
        </w:tc>
        <w:tc>
          <w:tcPr>
            <w:tcW w:type="dxa" w:w="388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报告页打开历史版本或导出</w:t>
            </w:r>
          </w:p>
        </w:tc>
      </w:tr>
    </w:tbl>
    <w:p>
      <w:pPr>
        <w:spacing w:after="40"/>
      </w:pPr>
    </w:p>
    <w:p>
      <w:pPr>
        <w:pStyle w:val="Heading2"/>
        <w:keepNext/>
        <w:pageBreakBefore w:val="0"/>
      </w:pPr>
      <w:r>
        <w:rPr>
          <w:rFonts w:ascii="Microsoft YaHei" w:hAnsi="Microsoft YaHei" w:eastAsia="Microsoft YaHei"/>
          <w:b/>
          <w:color w:val="000000"/>
          <w:sz w:val="28"/>
        </w:rPr>
        <w:t>8.2 版本规则</w:t>
      </w:r>
    </w:p>
    <w:p>
      <w:pPr>
        <w:pStyle w:val="ListBullet"/>
        <w:spacing w:after="60" w:line="293" w:lineRule="auto"/>
      </w:pPr>
      <w:r>
        <w:rPr>
          <w:rFonts w:ascii="Microsoft YaHei" w:hAnsi="Microsoft YaHei" w:eastAsia="Microsoft YaHei"/>
          <w:color w:val="000000"/>
          <w:sz w:val="20"/>
        </w:rPr>
        <w:t>已发布组件不允许原地覆盖，新配置使用新版本号。</w:t>
      </w:r>
    </w:p>
    <w:p>
      <w:pPr>
        <w:pStyle w:val="ListBullet"/>
        <w:spacing w:after="60" w:line="293" w:lineRule="auto"/>
      </w:pPr>
      <w:r>
        <w:rPr>
          <w:rFonts w:ascii="Microsoft YaHei" w:hAnsi="Microsoft YaHei" w:eastAsia="Microsoft YaHei"/>
          <w:color w:val="000000"/>
          <w:sz w:val="20"/>
        </w:rPr>
        <w:t>已排队运行继续使用排队时冻结的版本，不受后续配置修改影响。</w:t>
      </w:r>
    </w:p>
    <w:p>
      <w:pPr>
        <w:pStyle w:val="ListBullet"/>
        <w:spacing w:after="60" w:line="293" w:lineRule="auto"/>
      </w:pPr>
      <w:r>
        <w:rPr>
          <w:rFonts w:ascii="Microsoft YaHei" w:hAnsi="Microsoft YaHei" w:eastAsia="Microsoft YaHei"/>
          <w:color w:val="000000"/>
          <w:sz w:val="20"/>
        </w:rPr>
        <w:t>补件形成新的数据版本，旧材料、旧字段值和旧问题历史仍保留。</w:t>
      </w:r>
    </w:p>
    <w:p>
      <w:pPr>
        <w:pStyle w:val="ListBullet"/>
        <w:spacing w:after="60" w:line="293" w:lineRule="auto"/>
      </w:pPr>
      <w:r>
        <w:rPr>
          <w:rFonts w:ascii="Microsoft YaHei" w:hAnsi="Microsoft YaHei" w:eastAsia="Microsoft YaHei"/>
          <w:color w:val="000000"/>
          <w:sz w:val="20"/>
        </w:rPr>
        <w:t>报告确认和锁定后，重新生成只产生更新候选，不直接覆盖已确认正文。</w:t>
      </w:r>
    </w:p>
    <w:p>
      <w:pPr>
        <w:pStyle w:val="ListBullet"/>
        <w:spacing w:after="60" w:line="293" w:lineRule="auto"/>
      </w:pPr>
      <w:r>
        <w:rPr>
          <w:rFonts w:ascii="Microsoft YaHei" w:hAnsi="Microsoft YaHei" w:eastAsia="Microsoft YaHei"/>
          <w:color w:val="000000"/>
          <w:sz w:val="20"/>
        </w:rPr>
        <w:t>撤回和重新推送只改变评审池中的当前有效版本，不删除历史。</w:t>
      </w:r>
    </w:p>
    <w:p>
      <w:pPr>
        <w:pStyle w:val="Heading1"/>
        <w:keepNext/>
        <w:pageBreakBefore/>
      </w:pPr>
      <w:r>
        <w:rPr>
          <w:rFonts w:ascii="Microsoft YaHei" w:hAnsi="Microsoft YaHei" w:eastAsia="Microsoft YaHei"/>
          <w:b/>
          <w:color w:val="000000"/>
          <w:sz w:val="36"/>
        </w:rPr>
        <w:t>9 业务时效与过程监控</w:t>
      </w:r>
    </w:p>
    <w:p>
      <w:pPr>
        <w:pStyle w:val="BodyText"/>
        <w:spacing w:after="120" w:line="312" w:lineRule="auto"/>
      </w:pPr>
      <w:r>
        <w:rPr>
          <w:rFonts w:ascii="Microsoft YaHei" w:hAnsi="Microsoft YaHei" w:eastAsia="Microsoft YaHei"/>
          <w:color w:val="000000"/>
          <w:sz w:val="21"/>
        </w:rPr>
        <w:t>系统自动记录每个项目阶段的开始、结束、角色、来源对象和耗时。看板的重点是识别等待和人工闭环位置，不把外部等待算成人员处理时间，也不使用缺乏业务解释的个人排名。</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时间类别</w:t>
            </w:r>
          </w:p>
        </w:tc>
        <w:tc>
          <w:tcPr>
            <w:tcW w:type="dxa" w:w="381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典型阶段</w:t>
            </w:r>
          </w:p>
        </w:tc>
        <w:tc>
          <w:tcPr>
            <w:tcW w:type="dxa" w:w="424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管理含义</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人员处理</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材料收集 报告整理 独立评审</w:t>
            </w:r>
          </w:p>
        </w:tc>
        <w:tc>
          <w:tcPr>
            <w:tcW w:type="dxa" w:w="424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实际办理投入</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排队等待</w:t>
            </w:r>
          </w:p>
        </w:tc>
        <w:tc>
          <w:tcPr>
            <w:tcW w:type="dxa" w:w="381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提交后等待评审员领取</w:t>
            </w:r>
          </w:p>
        </w:tc>
        <w:tc>
          <w:tcPr>
            <w:tcW w:type="dxa" w:w="424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人员配置和优先级问题</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8"/>
              </w:rPr>
              <w:t>外部等待</w:t>
            </w:r>
          </w:p>
        </w:tc>
        <w:tc>
          <w:tcPr>
            <w:tcW w:type="dxa" w:w="381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等待客户补件或第三方材料</w:t>
            </w:r>
          </w:p>
        </w:tc>
        <w:tc>
          <w:tcPr>
            <w:tcW w:type="dxa" w:w="424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外部依赖和沟通效率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8"/>
              </w:rPr>
              <w:t>系统执行</w:t>
            </w:r>
          </w:p>
        </w:tc>
        <w:tc>
          <w:tcPr>
            <w:tcW w:type="dxa" w:w="381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AI预审 数据卡读取和规则运行</w:t>
            </w:r>
          </w:p>
        </w:tc>
        <w:tc>
          <w:tcPr>
            <w:tcW w:type="dxa" w:w="424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系统性能和运行稳定性</w:t>
            </w:r>
          </w:p>
        </w:tc>
      </w:tr>
    </w:tbl>
    <w:p>
      <w:pPr>
        <w:spacing w:after="40"/>
      </w:pPr>
    </w:p>
    <w:p>
      <w:pPr>
        <w:pStyle w:val="Heading2"/>
        <w:keepNext/>
        <w:pageBreakBefore w:val="0"/>
      </w:pPr>
      <w:r>
        <w:rPr>
          <w:rFonts w:ascii="Microsoft YaHei" w:hAnsi="Microsoft YaHei" w:eastAsia="Microsoft YaHei"/>
          <w:b/>
          <w:color w:val="000000"/>
          <w:sz w:val="28"/>
        </w:rPr>
        <w:t>9.1 看板指标</w:t>
      </w:r>
    </w:p>
    <w:p>
      <w:pPr>
        <w:pStyle w:val="ListBullet"/>
        <w:spacing w:after="60" w:line="293" w:lineRule="auto"/>
      </w:pPr>
      <w:r>
        <w:rPr>
          <w:rFonts w:ascii="Microsoft YaHei" w:hAnsi="Microsoft YaHei" w:eastAsia="Microsoft YaHei"/>
          <w:color w:val="000000"/>
          <w:sz w:val="20"/>
        </w:rPr>
        <w:t>纳入项目数只统计当前身份授权范围。</w:t>
      </w:r>
    </w:p>
    <w:p>
      <w:pPr>
        <w:pStyle w:val="ListBullet"/>
        <w:spacing w:after="60" w:line="293" w:lineRule="auto"/>
      </w:pPr>
      <w:r>
        <w:rPr>
          <w:rFonts w:ascii="Microsoft YaHei" w:hAnsi="Microsoft YaHei" w:eastAsia="Microsoft YaHei"/>
          <w:color w:val="000000"/>
          <w:sz w:val="20"/>
        </w:rPr>
        <w:t>中位业务周期减少极端项目对平均值的干扰。</w:t>
      </w:r>
    </w:p>
    <w:p>
      <w:pPr>
        <w:pStyle w:val="ListBullet"/>
        <w:spacing w:after="60" w:line="293" w:lineRule="auto"/>
      </w:pPr>
      <w:r>
        <w:rPr>
          <w:rFonts w:ascii="Microsoft YaHei" w:hAnsi="Microsoft YaHei" w:eastAsia="Microsoft YaHei"/>
          <w:color w:val="000000"/>
          <w:sz w:val="20"/>
        </w:rPr>
        <w:t>阶段耗时分布显示累计耗时、发生次数和单次平均耗时。</w:t>
      </w:r>
    </w:p>
    <w:p>
      <w:pPr>
        <w:pStyle w:val="ListBullet"/>
        <w:spacing w:after="60" w:line="293" w:lineRule="auto"/>
      </w:pPr>
      <w:r>
        <w:rPr>
          <w:rFonts w:ascii="Microsoft YaHei" w:hAnsi="Microsoft YaHei" w:eastAsia="Microsoft YaHei"/>
          <w:color w:val="000000"/>
          <w:sz w:val="20"/>
        </w:rPr>
        <w:t>项目时间轴可以直接跳回项目完整业务记录。</w:t>
      </w:r>
    </w:p>
    <w:p>
      <w:pPr>
        <w:pStyle w:val="ListBullet"/>
        <w:spacing w:after="60" w:line="293" w:lineRule="auto"/>
      </w:pPr>
      <w:r>
        <w:rPr>
          <w:rFonts w:ascii="Microsoft YaHei" w:hAnsi="Microsoft YaHei" w:eastAsia="Microsoft YaHei"/>
          <w:color w:val="000000"/>
          <w:sz w:val="20"/>
        </w:rPr>
        <w:t>管理员可以切换全部角色、客户经理或评审员统计范围。</w:t>
      </w:r>
    </w:p>
    <w:p>
      <w:pPr>
        <w:pStyle w:val="Heading2"/>
        <w:keepNext/>
        <w:pageBreakBefore w:val="0"/>
      </w:pPr>
      <w:r>
        <w:rPr>
          <w:rFonts w:ascii="Microsoft YaHei" w:hAnsi="Microsoft YaHei" w:eastAsia="Microsoft YaHei"/>
          <w:b/>
          <w:color w:val="000000"/>
          <w:sz w:val="28"/>
        </w:rPr>
        <w:t>9.2 统一时间源</w:t>
      </w:r>
    </w:p>
    <w:p>
      <w:pPr>
        <w:pStyle w:val="BodyText"/>
        <w:spacing w:after="120" w:line="312" w:lineRule="auto"/>
      </w:pPr>
      <w:r>
        <w:rPr>
          <w:rFonts w:ascii="Microsoft YaHei" w:hAnsi="Microsoft YaHei" w:eastAsia="Microsoft YaHei"/>
          <w:color w:val="000000"/>
          <w:sz w:val="21"/>
        </w:rPr>
        <w:t>客户经理提交时间、评审池等待时间和评审员卡片中的收件时间来自同一提交事件。评审员领取后，排队计时结束，独立评审办理开始。退回、批准、撤回和重新推送均产生新的时间与审计事件。</w:t>
      </w:r>
    </w:p>
    <w:p>
      <w:pPr>
        <w:pStyle w:val="Heading1"/>
        <w:keepNext/>
        <w:pageBreakBefore/>
      </w:pPr>
      <w:r>
        <w:rPr>
          <w:rFonts w:ascii="Microsoft YaHei" w:hAnsi="Microsoft YaHei" w:eastAsia="Microsoft YaHei"/>
          <w:b/>
          <w:color w:val="000000"/>
          <w:sz w:val="36"/>
        </w:rPr>
        <w:t>10 报告 经验和评审闭环</w:t>
      </w:r>
    </w:p>
    <w:p>
      <w:pPr>
        <w:pStyle w:val="Heading2"/>
        <w:keepNext/>
        <w:pageBreakBefore w:val="0"/>
      </w:pPr>
      <w:r>
        <w:rPr>
          <w:rFonts w:ascii="Microsoft YaHei" w:hAnsi="Microsoft YaHei" w:eastAsia="Microsoft YaHei"/>
          <w:b/>
          <w:color w:val="000000"/>
          <w:sz w:val="28"/>
        </w:rPr>
        <w:t>10.1 三类报告</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98"/>
        <w:gridCol w:w="2498"/>
        <w:gridCol w:w="2498"/>
        <w:gridCol w:w="2498"/>
      </w:tblGrid>
      <w:tr>
        <w:trPr>
          <w:tblHeader w:val="true"/>
          <w:cantSplit/>
        </w:trPr>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报告</w:t>
            </w:r>
          </w:p>
        </w:tc>
        <w:tc>
          <w:tcPr>
            <w:tcW w:type="dxa" w:w="144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编制角色</w:t>
            </w:r>
          </w:p>
        </w:tc>
        <w:tc>
          <w:tcPr>
            <w:tcW w:type="dxa" w:w="482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主要章节</w:t>
            </w:r>
          </w:p>
        </w:tc>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用途</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AI预审报告</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w:t>
            </w:r>
          </w:p>
        </w:tc>
        <w:tc>
          <w:tcPr>
            <w:tcW w:type="dxa" w:w="48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项目概况 资料完整性 财务风险 客户经理说明 提交建议</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正式送审前自查和材料整理</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独立评审报告</w:t>
            </w:r>
          </w:p>
        </w:tc>
        <w:tc>
          <w:tcPr>
            <w:tcW w:type="dxa" w:w="14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评审员</w:t>
            </w:r>
          </w:p>
        </w:tc>
        <w:tc>
          <w:tcPr>
            <w:tcW w:type="dxa" w:w="48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项目授信 数据复核 财务偿债 增信 风险分歧 独立意见</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形成可追溯的专业评审记录</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上会审议摘要</w:t>
            </w:r>
          </w:p>
        </w:tc>
        <w:tc>
          <w:tcPr>
            <w:tcW w:type="dxa" w:w="14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评审员</w:t>
            </w:r>
          </w:p>
        </w:tc>
        <w:tc>
          <w:tcPr>
            <w:tcW w:type="dxa" w:w="48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项目摘要 核心风险 建议方案 待决策事项</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集中呈现会议需要判断的事项</w:t>
            </w:r>
          </w:p>
        </w:tc>
      </w:tr>
    </w:tbl>
    <w:p>
      <w:pPr>
        <w:spacing w:after="40"/>
      </w:pPr>
    </w:p>
    <w:p>
      <w:pPr>
        <w:pStyle w:val="BodyText"/>
        <w:spacing w:after="120" w:line="312" w:lineRule="auto"/>
      </w:pPr>
      <w:r>
        <w:rPr>
          <w:rFonts w:ascii="Microsoft YaHei" w:hAnsi="Microsoft YaHei" w:eastAsia="Microsoft YaHei"/>
          <w:color w:val="000000"/>
          <w:sz w:val="21"/>
        </w:rPr>
        <w:t>报告模板决定章节和表达方式，但不产生新的业务事实。所有关键事实和风险来自报告引用的冻结运行。AI预审报告不作审批结论，独立评审报告保留评审员的专业判断和责任边界。</w:t>
      </w:r>
    </w:p>
    <w:p>
      <w:pPr>
        <w:pStyle w:val="Heading2"/>
        <w:keepNext/>
        <w:pageBreakBefore w:val="0"/>
      </w:pPr>
      <w:r>
        <w:rPr>
          <w:rFonts w:ascii="Microsoft YaHei" w:hAnsi="Microsoft YaHei" w:eastAsia="Microsoft YaHei"/>
          <w:b/>
          <w:color w:val="000000"/>
          <w:sz w:val="28"/>
        </w:rPr>
        <w:t>10.2 经验沉淀</w:t>
      </w:r>
    </w:p>
    <w:p>
      <w:pPr>
        <w:pStyle w:val="BodyText"/>
        <w:spacing w:after="120" w:line="312" w:lineRule="auto"/>
      </w:pPr>
      <w:r>
        <w:rPr>
          <w:rFonts w:ascii="Microsoft YaHei" w:hAnsi="Microsoft YaHei" w:eastAsia="Microsoft YaHei"/>
          <w:color w:val="000000"/>
          <w:sz w:val="21"/>
        </w:rPr>
        <w:t>评审员可以把实际纠正记录为专业反馈，再形成经验草稿。经验必须说明适用条件、建议动作和例外条件，经正反例评测和独立审核后才发布。已发布经验可以进入后续预审，但不会自动升级为公司正式规则。</w:t>
      </w:r>
    </w:p>
    <w:tbl>
      <w:tblPr>
        <w:tblW w:type="auto" w:w="0"/>
        <w:jc w:val="center"/>
        <w:tblLayout w:type="fixed"/>
        <w:tblLook w:firstColumn="1" w:firstRow="1" w:lastColumn="0" w:lastRow="0" w:noHBand="0" w:noVBand="1" w:val="04A0"/>
        <w:tblBorders>
          <w:top w:val="single" w:sz="5" w:color="C7D6CF"/>
          <w:left w:val="single" w:sz="5" w:color="C7D6CF"/>
          <w:bottom w:val="single" w:sz="5" w:color="C7D6CF"/>
          <w:right w:val="single" w:sz="5" w:color="C7D6CF"/>
          <w:insideH w:val="single" w:sz="5" w:color="C7D6CF"/>
          <w:insideV w:val="single" w:sz="5" w:color="C7D6CF"/>
        </w:tblBorders>
      </w:tblPr>
      <w:tblGrid>
        <w:gridCol w:w="1666"/>
        <w:gridCol w:w="1666"/>
        <w:gridCol w:w="1666"/>
        <w:gridCol w:w="1666"/>
        <w:gridCol w:w="1666"/>
        <w:gridCol w:w="1666"/>
      </w:tblGrid>
      <w:tr>
        <w:trPr>
          <w:tblHeader w:val="true"/>
        </w:trPr>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1</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2</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3</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4</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5</w:t>
            </w:r>
          </w:p>
        </w:tc>
        <w:tc>
          <w:tcPr>
            <w:tcW w:type="dxa" w:w="1644"/>
            <w:shd w:fill="185C48"/>
            <w:tcMar>
              <w:top w:w="70" w:type="dxa"/>
              <w:start w:w="70" w:type="dxa"/>
              <w:bottom w:w="70" w:type="dxa"/>
              <w:end w:w="70" w:type="dxa"/>
            </w:tcMar>
            <w:vAlign w:val="center"/>
          </w:tcPr>
          <w:p>
            <w:pPr>
              <w:spacing w:after="0" w:line="283" w:lineRule="auto"/>
              <w:jc w:val="center"/>
            </w:pPr>
            <w:r>
              <w:rPr>
                <w:rFonts w:ascii="Microsoft YaHei" w:hAnsi="Microsoft YaHei" w:eastAsia="Microsoft YaHei"/>
                <w:b/>
                <w:color w:val="FFFFFF"/>
                <w:sz w:val="19"/>
              </w:rPr>
              <w:t>6</w:t>
            </w:r>
          </w:p>
        </w:tc>
      </w:tr>
      <w:tr>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记录反馈</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提炼经验草稿</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补充适用和例外</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隔离评测</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独立审核发布</w:t>
            </w:r>
          </w:p>
        </w:tc>
        <w:tc>
          <w:tcPr>
            <w:tcW w:type="dxa" w:w="1644"/>
            <w:shd w:fill="EAF3EF"/>
            <w:tcMar>
              <w:top w:w="100" w:type="dxa"/>
              <w:start w:w="70" w:type="dxa"/>
              <w:bottom w:w="100" w:type="dxa"/>
              <w:end w:w="70" w:type="dxa"/>
            </w:tcMar>
            <w:vAlign w:val="center"/>
          </w:tcPr>
          <w:p>
            <w:pPr>
              <w:spacing w:after="0" w:line="283" w:lineRule="auto"/>
              <w:jc w:val="center"/>
            </w:pPr>
            <w:r>
              <w:rPr>
                <w:rFonts w:ascii="Microsoft YaHei" w:hAnsi="Microsoft YaHei" w:eastAsia="Microsoft YaHei"/>
                <w:b/>
                <w:color w:val="000000"/>
                <w:sz w:val="18"/>
              </w:rPr>
              <w:t>后续运行应用</w:t>
            </w:r>
          </w:p>
        </w:tc>
      </w:tr>
    </w:tbl>
    <w:p>
      <w:pPr>
        <w:spacing w:after="20"/>
      </w:pPr>
    </w:p>
    <w:p>
      <w:pPr>
        <w:pStyle w:val="ListBullet"/>
        <w:spacing w:after="60" w:line="293" w:lineRule="auto"/>
      </w:pPr>
      <w:r>
        <w:rPr>
          <w:rFonts w:ascii="Microsoft YaHei" w:hAnsi="Microsoft YaHei" w:eastAsia="Microsoft YaHei"/>
          <w:color w:val="000000"/>
          <w:sz w:val="20"/>
        </w:rPr>
        <w:t>个人意见不会因为被保存一次就成为公司经验。</w:t>
      </w:r>
    </w:p>
    <w:p>
      <w:pPr>
        <w:pStyle w:val="ListBullet"/>
        <w:spacing w:after="60" w:line="293" w:lineRule="auto"/>
      </w:pPr>
      <w:r>
        <w:rPr>
          <w:rFonts w:ascii="Microsoft YaHei" w:hAnsi="Microsoft YaHei" w:eastAsia="Microsoft YaHei"/>
          <w:color w:val="000000"/>
          <w:sz w:val="20"/>
        </w:rPr>
        <w:t>表达修改、事实纠正和数据纠正不会自动生成规则。</w:t>
      </w:r>
    </w:p>
    <w:p>
      <w:pPr>
        <w:pStyle w:val="ListBullet"/>
        <w:spacing w:after="60" w:line="293" w:lineRule="auto"/>
      </w:pPr>
      <w:r>
        <w:rPr>
          <w:rFonts w:ascii="Microsoft YaHei" w:hAnsi="Microsoft YaHei" w:eastAsia="Microsoft YaHei"/>
          <w:color w:val="000000"/>
          <w:sz w:val="20"/>
        </w:rPr>
        <w:t>经验应用记录会写明经验版本、命中的检查和应用原因。</w:t>
      </w:r>
    </w:p>
    <w:p>
      <w:pPr>
        <w:pStyle w:val="ListBullet"/>
        <w:spacing w:after="60" w:line="293" w:lineRule="auto"/>
      </w:pPr>
      <w:r>
        <w:rPr>
          <w:rFonts w:ascii="Microsoft YaHei" w:hAnsi="Microsoft YaHei" w:eastAsia="Microsoft YaHei"/>
          <w:color w:val="000000"/>
          <w:sz w:val="20"/>
        </w:rPr>
        <w:t>经验可停用回退，历史运行仍保留当时实际使用的版本。</w:t>
      </w:r>
    </w:p>
    <w:p>
      <w:pPr>
        <w:pStyle w:val="Heading1"/>
        <w:keepNext/>
        <w:pageBreakBefore/>
      </w:pPr>
      <w:r>
        <w:rPr>
          <w:rFonts w:ascii="Microsoft YaHei" w:hAnsi="Microsoft YaHei" w:eastAsia="Microsoft YaHei"/>
          <w:b/>
          <w:color w:val="000000"/>
          <w:sz w:val="36"/>
        </w:rPr>
        <w:t>11 演示数据与完整演示流程</w:t>
      </w:r>
    </w:p>
    <w:p>
      <w:pPr>
        <w:pStyle w:val="Heading2"/>
        <w:keepNext/>
        <w:pageBreakBefore w:val="0"/>
      </w:pPr>
      <w:r>
        <w:rPr>
          <w:rFonts w:ascii="Microsoft YaHei" w:hAnsi="Microsoft YaHei" w:eastAsia="Microsoft YaHei"/>
          <w:b/>
          <w:color w:val="000000"/>
          <w:sz w:val="28"/>
        </w:rPr>
        <w:t>11.1 三个演示项目</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37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项目</w:t>
            </w:r>
          </w:p>
        </w:tc>
        <w:tc>
          <w:tcPr>
            <w:tcW w:type="dxa" w:w="453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场景</w:t>
            </w:r>
          </w:p>
        </w:tc>
        <w:tc>
          <w:tcPr>
            <w:tcW w:type="dxa" w:w="295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适合演示</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DEMO A 兴华精密制造</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材料较完整的装备制造项目</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快速预审 报告生成和提交</w:t>
            </w:r>
          </w:p>
        </w:tc>
      </w:tr>
      <w:tr>
        <w:trPr>
          <w:cantSplit/>
        </w:trPr>
        <w:tc>
          <w:tcPr>
            <w:tcW w:type="dxa" w:w="237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DEMO B 恒远设备</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现金流缺失 负债口径冲突 设备重复和覆盖不足</w:t>
            </w:r>
          </w:p>
        </w:tc>
        <w:tc>
          <w:tcPr>
            <w:tcW w:type="dxa" w:w="29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材料解析 补件 问题闭环 重跑和退回</w:t>
            </w:r>
          </w:p>
        </w:tc>
      </w:tr>
      <w:tr>
        <w:trPr>
          <w:cantSplit/>
        </w:trPr>
        <w:tc>
          <w:tcPr>
            <w:tcW w:type="dxa" w:w="237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DEMO C 新能服务</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依赖特定回款且回款凭证缺失</w:t>
            </w:r>
          </w:p>
        </w:tc>
        <w:tc>
          <w:tcPr>
            <w:tcW w:type="dxa" w:w="29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独立评审和经验应用</w:t>
            </w:r>
          </w:p>
        </w:tc>
      </w:tr>
    </w:tbl>
    <w:p>
      <w:pPr>
        <w:spacing w:after="40"/>
      </w:pPr>
    </w:p>
    <w:p>
      <w:pPr>
        <w:pStyle w:val="BodyText"/>
        <w:spacing w:after="120" w:line="312" w:lineRule="auto"/>
      </w:pPr>
      <w:r>
        <w:rPr>
          <w:rFonts w:ascii="Microsoft YaHei" w:hAnsi="Microsoft YaHei" w:eastAsia="Microsoft YaHei"/>
          <w:color w:val="000000"/>
          <w:sz w:val="21"/>
        </w:rPr>
        <w:t>所有演示名称、金额、编号和规则阈值均为虚构数据。演示中的120%覆盖阈值只用于展示规则版本和问题变化，不代表兴邦正式制度。</w:t>
      </w:r>
    </w:p>
    <w:p>
      <w:pPr>
        <w:pStyle w:val="Heading2"/>
        <w:keepNext/>
        <w:pageBreakBefore w:val="0"/>
      </w:pPr>
      <w:r>
        <w:rPr>
          <w:rFonts w:ascii="Microsoft YaHei" w:hAnsi="Microsoft YaHei" w:eastAsia="Microsoft YaHei"/>
          <w:b/>
          <w:color w:val="000000"/>
          <w:sz w:val="28"/>
        </w:rPr>
        <w:t>11.2 推荐完整演示</w:t>
      </w:r>
    </w:p>
    <w:p>
      <w:pPr>
        <w:pStyle w:val="ListNumber"/>
        <w:spacing w:after="100" w:line="300" w:lineRule="auto"/>
      </w:pPr>
      <w:r>
        <w:rPr>
          <w:rFonts w:ascii="Microsoft YaHei" w:hAnsi="Microsoft YaHei" w:eastAsia="Microsoft YaHei"/>
          <w:b/>
          <w:color w:val="000000"/>
          <w:sz w:val="20"/>
        </w:rPr>
        <w:t xml:space="preserve">客户经理进入DEMO B  </w:t>
      </w:r>
      <w:r>
        <w:rPr>
          <w:rFonts w:ascii="Microsoft YaHei" w:hAnsi="Microsoft YaHei" w:eastAsia="Microsoft YaHei"/>
          <w:color w:val="000000"/>
          <w:sz w:val="20"/>
        </w:rPr>
        <w:t>查看项目卡、待处理风险和时间轨迹。</w:t>
      </w:r>
    </w:p>
    <w:p>
      <w:pPr>
        <w:pStyle w:val="ListNumber"/>
        <w:spacing w:after="100" w:line="300" w:lineRule="auto"/>
      </w:pPr>
      <w:r>
        <w:rPr>
          <w:rFonts w:ascii="Microsoft YaHei" w:hAnsi="Microsoft YaHei" w:eastAsia="Microsoft YaHei"/>
          <w:b/>
          <w:color w:val="000000"/>
          <w:sz w:val="20"/>
        </w:rPr>
        <w:t xml:space="preserve">查看材料解析  </w:t>
      </w:r>
      <w:r>
        <w:rPr>
          <w:rFonts w:ascii="Microsoft YaHei" w:hAnsi="Microsoft YaHei" w:eastAsia="Microsoft YaHei"/>
          <w:color w:val="000000"/>
          <w:sz w:val="20"/>
        </w:rPr>
        <w:t>打开财务报表和设备清单的解析结果，确认来源定位。</w:t>
      </w:r>
    </w:p>
    <w:p>
      <w:pPr>
        <w:pStyle w:val="ListNumber"/>
        <w:spacing w:after="100" w:line="300" w:lineRule="auto"/>
      </w:pPr>
      <w:r>
        <w:rPr>
          <w:rFonts w:ascii="Microsoft YaHei" w:hAnsi="Microsoft YaHei" w:eastAsia="Microsoft YaHei"/>
          <w:b/>
          <w:color w:val="000000"/>
          <w:sz w:val="20"/>
        </w:rPr>
        <w:t xml:space="preserve">发起AI预审  </w:t>
      </w:r>
      <w:r>
        <w:rPr>
          <w:rFonts w:ascii="Microsoft YaHei" w:hAnsi="Microsoft YaHei" w:eastAsia="Microsoft YaHei"/>
          <w:color w:val="000000"/>
          <w:sz w:val="20"/>
        </w:rPr>
        <w:t>观察负债冲突、现金流缺失、设备重复和覆盖不足。</w:t>
      </w:r>
    </w:p>
    <w:p>
      <w:pPr>
        <w:pStyle w:val="ListNumber"/>
        <w:spacing w:after="100" w:line="300" w:lineRule="auto"/>
      </w:pPr>
      <w:r>
        <w:rPr>
          <w:rFonts w:ascii="Microsoft YaHei" w:hAnsi="Microsoft YaHei" w:eastAsia="Microsoft YaHei"/>
          <w:b/>
          <w:color w:val="000000"/>
          <w:sz w:val="20"/>
        </w:rPr>
        <w:t xml:space="preserve">完成补件  </w:t>
      </w:r>
      <w:r>
        <w:rPr>
          <w:rFonts w:ascii="Microsoft YaHei" w:hAnsi="Microsoft YaHei" w:eastAsia="Microsoft YaHei"/>
          <w:color w:val="000000"/>
          <w:sz w:val="20"/>
        </w:rPr>
        <w:t>补充尽调负债口径、重复设备说明和现金流依据，再次预审。</w:t>
      </w:r>
    </w:p>
    <w:p>
      <w:pPr>
        <w:pStyle w:val="ListNumber"/>
        <w:spacing w:after="100" w:line="300" w:lineRule="auto"/>
      </w:pPr>
      <w:r>
        <w:rPr>
          <w:rFonts w:ascii="Microsoft YaHei" w:hAnsi="Microsoft YaHei" w:eastAsia="Microsoft YaHei"/>
          <w:b/>
          <w:color w:val="000000"/>
          <w:sz w:val="20"/>
        </w:rPr>
        <w:t xml:space="preserve">生成AI预审报告  </w:t>
      </w:r>
      <w:r>
        <w:rPr>
          <w:rFonts w:ascii="Microsoft YaHei" w:hAnsi="Microsoft YaHei" w:eastAsia="Microsoft YaHei"/>
          <w:color w:val="000000"/>
          <w:sz w:val="20"/>
        </w:rPr>
        <w:t>确认章节来源并提交正式评审。</w:t>
      </w:r>
    </w:p>
    <w:p>
      <w:pPr>
        <w:pStyle w:val="ListNumber"/>
        <w:spacing w:after="100" w:line="300" w:lineRule="auto"/>
      </w:pPr>
      <w:r>
        <w:rPr>
          <w:rFonts w:ascii="Microsoft YaHei" w:hAnsi="Microsoft YaHei" w:eastAsia="Microsoft YaHei"/>
          <w:b/>
          <w:color w:val="000000"/>
          <w:sz w:val="20"/>
        </w:rPr>
        <w:t xml:space="preserve">进入项目评审池  </w:t>
      </w:r>
      <w:r>
        <w:rPr>
          <w:rFonts w:ascii="Microsoft YaHei" w:hAnsi="Microsoft YaHei" w:eastAsia="Microsoft YaHei"/>
          <w:color w:val="000000"/>
          <w:sz w:val="20"/>
        </w:rPr>
        <w:t>查看提交时间和等待时长。</w:t>
      </w:r>
    </w:p>
    <w:p>
      <w:pPr>
        <w:pStyle w:val="ListNumber"/>
        <w:spacing w:after="100" w:line="300" w:lineRule="auto"/>
      </w:pPr>
      <w:r>
        <w:rPr>
          <w:rFonts w:ascii="Microsoft YaHei" w:hAnsi="Microsoft YaHei" w:eastAsia="Microsoft YaHei"/>
          <w:b/>
          <w:color w:val="000000"/>
          <w:sz w:val="20"/>
        </w:rPr>
        <w:t xml:space="preserve">评审员领取  </w:t>
      </w:r>
      <w:r>
        <w:rPr>
          <w:rFonts w:ascii="Microsoft YaHei" w:hAnsi="Microsoft YaHei" w:eastAsia="Microsoft YaHei"/>
          <w:color w:val="000000"/>
          <w:sz w:val="20"/>
        </w:rPr>
        <w:t>开始独立评审并逐项完成六个业务节点。</w:t>
      </w:r>
    </w:p>
    <w:p>
      <w:pPr>
        <w:pStyle w:val="ListNumber"/>
        <w:spacing w:after="100" w:line="300" w:lineRule="auto"/>
      </w:pPr>
      <w:r>
        <w:rPr>
          <w:rFonts w:ascii="Microsoft YaHei" w:hAnsi="Microsoft YaHei" w:eastAsia="Microsoft YaHei"/>
          <w:b/>
          <w:color w:val="000000"/>
          <w:sz w:val="20"/>
        </w:rPr>
        <w:t xml:space="preserve">演示退回  </w:t>
      </w:r>
      <w:r>
        <w:rPr>
          <w:rFonts w:ascii="Microsoft YaHei" w:hAnsi="Microsoft YaHei" w:eastAsia="Microsoft YaHei"/>
          <w:color w:val="000000"/>
          <w:sz w:val="20"/>
        </w:rPr>
        <w:t>填写退回原因后退回，切换客户经理查看红色项目卡。</w:t>
      </w:r>
    </w:p>
    <w:p>
      <w:pPr>
        <w:pStyle w:val="ListNumber"/>
        <w:spacing w:after="100" w:line="300" w:lineRule="auto"/>
      </w:pPr>
      <w:r>
        <w:rPr>
          <w:rFonts w:ascii="Microsoft YaHei" w:hAnsi="Microsoft YaHei" w:eastAsia="Microsoft YaHei"/>
          <w:b/>
          <w:color w:val="000000"/>
          <w:sz w:val="20"/>
        </w:rPr>
        <w:t xml:space="preserve">重新推送  </w:t>
      </w:r>
      <w:r>
        <w:rPr>
          <w:rFonts w:ascii="Microsoft YaHei" w:hAnsi="Microsoft YaHei" w:eastAsia="Microsoft YaHei"/>
          <w:color w:val="000000"/>
          <w:sz w:val="20"/>
        </w:rPr>
        <w:t>客户经理补件、更新报告并重新推送。</w:t>
      </w:r>
    </w:p>
    <w:p>
      <w:pPr>
        <w:pStyle w:val="ListNumber"/>
        <w:spacing w:after="100" w:line="300" w:lineRule="auto"/>
      </w:pPr>
      <w:r>
        <w:rPr>
          <w:rFonts w:ascii="Microsoft YaHei" w:hAnsi="Microsoft YaHei" w:eastAsia="Microsoft YaHei"/>
          <w:b/>
          <w:color w:val="000000"/>
          <w:sz w:val="20"/>
        </w:rPr>
        <w:t xml:space="preserve">演示批准  </w:t>
      </w:r>
      <w:r>
        <w:rPr>
          <w:rFonts w:ascii="Microsoft YaHei" w:hAnsi="Microsoft YaHei" w:eastAsia="Microsoft YaHei"/>
          <w:color w:val="000000"/>
          <w:sz w:val="20"/>
        </w:rPr>
        <w:t>评审员完成所有节点，批准并生成独立评审报告。</w:t>
      </w:r>
    </w:p>
    <w:p>
      <w:pPr>
        <w:pStyle w:val="ListNumber"/>
        <w:spacing w:after="100" w:line="300" w:lineRule="auto"/>
      </w:pPr>
      <w:r>
        <w:rPr>
          <w:rFonts w:ascii="Microsoft YaHei" w:hAnsi="Microsoft YaHei" w:eastAsia="Microsoft YaHei"/>
          <w:b/>
          <w:color w:val="000000"/>
          <w:sz w:val="20"/>
        </w:rPr>
        <w:t xml:space="preserve">查看业务时效  </w:t>
      </w:r>
      <w:r>
        <w:rPr>
          <w:rFonts w:ascii="Microsoft YaHei" w:hAnsi="Microsoft YaHei" w:eastAsia="Microsoft YaHei"/>
          <w:color w:val="000000"/>
          <w:sz w:val="20"/>
        </w:rPr>
        <w:t>检查排队、办理、补件等待和系统执行时间是否分开。</w:t>
      </w:r>
    </w:p>
    <w:p>
      <w:pPr>
        <w:pStyle w:val="ListNumber"/>
        <w:spacing w:after="100" w:line="300" w:lineRule="auto"/>
      </w:pPr>
      <w:r>
        <w:rPr>
          <w:rFonts w:ascii="Microsoft YaHei" w:hAnsi="Microsoft YaHei" w:eastAsia="Microsoft YaHei"/>
          <w:b/>
          <w:color w:val="000000"/>
          <w:sz w:val="20"/>
        </w:rPr>
        <w:t xml:space="preserve">查看配置治理  </w:t>
      </w:r>
      <w:r>
        <w:rPr>
          <w:rFonts w:ascii="Microsoft YaHei" w:hAnsi="Microsoft YaHei" w:eastAsia="Microsoft YaHei"/>
          <w:color w:val="000000"/>
          <w:sz w:val="20"/>
        </w:rPr>
        <w:t>展示多表数据卡、金租Skills、规则、方案及版本。</w:t>
      </w:r>
    </w:p>
    <w:p>
      <w:pPr>
        <w:pStyle w:val="Heading1"/>
        <w:keepNext/>
        <w:pageBreakBefore/>
      </w:pPr>
      <w:r>
        <w:rPr>
          <w:rFonts w:ascii="Microsoft YaHei" w:hAnsi="Microsoft YaHei" w:eastAsia="Microsoft YaHei"/>
          <w:b/>
          <w:color w:val="000000"/>
          <w:sz w:val="36"/>
        </w:rPr>
        <w:t>12 常用状态和按钮条件</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94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页面或对象</w:t>
            </w:r>
          </w:p>
        </w:tc>
        <w:tc>
          <w:tcPr>
            <w:tcW w:type="dxa" w:w="302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状态或按钮</w:t>
            </w:r>
          </w:p>
        </w:tc>
        <w:tc>
          <w:tcPr>
            <w:tcW w:type="dxa" w:w="489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启用条件和含义</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运行</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已排队 检查中 已完成 部分完成 未完成</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技术状态和业务问题分开；部分完成可保留已完成结果</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客户经理报告</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提交正式评审</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已生成可提交的AI预审报告，并经二次确认</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评审池</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撤回</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当前有效送审版本尚未形成最终决定</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评审池</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重新推送</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项目已撤回或退回，客户经理完成修改</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评审节点</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确认风险可控 要求补件等</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需要选择结论，部分结论必须填写意见</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最终退回</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退回补充材料</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已完成独立评审运行并填写退回原因</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最终批准</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批准并生成评审报告</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全部必审主题有结论且阻断事项闭环</w:t>
            </w:r>
          </w:p>
        </w:tc>
      </w:tr>
      <w:tr>
        <w:trPr>
          <w:cantSplit/>
        </w:trPr>
        <w:tc>
          <w:tcPr>
            <w:tcW w:type="dxa" w:w="194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报告章节</w:t>
            </w:r>
          </w:p>
        </w:tc>
        <w:tc>
          <w:tcPr>
            <w:tcW w:type="dxa" w:w="302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确认并锁定</w:t>
            </w:r>
          </w:p>
        </w:tc>
        <w:tc>
          <w:tcPr>
            <w:tcW w:type="dxa" w:w="489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章节来源未过期；锁定后重生成不覆盖正文</w:t>
            </w:r>
          </w:p>
        </w:tc>
      </w:tr>
      <w:tr>
        <w:trPr>
          <w:cantSplit/>
        </w:trPr>
        <w:tc>
          <w:tcPr>
            <w:tcW w:type="dxa" w:w="194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组件</w:t>
            </w:r>
          </w:p>
        </w:tc>
        <w:tc>
          <w:tcPr>
            <w:tcW w:type="dxa" w:w="302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发布</w:t>
            </w:r>
          </w:p>
        </w:tc>
        <w:tc>
          <w:tcPr>
            <w:tcW w:type="dxa" w:w="489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候选版本通过当前评测且由授权审核人确认</w:t>
            </w:r>
          </w:p>
        </w:tc>
      </w:tr>
    </w:tbl>
    <w:p>
      <w:pPr>
        <w:spacing w:after="40"/>
      </w:pPr>
    </w:p>
    <w:p>
      <w:pPr>
        <w:pStyle w:val="Heading2"/>
        <w:keepNext/>
        <w:pageBreakBefore w:val="0"/>
      </w:pPr>
      <w:r>
        <w:rPr>
          <w:rFonts w:ascii="Microsoft YaHei" w:hAnsi="Microsoft YaHei" w:eastAsia="Microsoft YaHei"/>
          <w:b/>
          <w:color w:val="000000"/>
          <w:sz w:val="28"/>
        </w:rPr>
        <w:t>12.1 退回项目的重点标识</w:t>
      </w:r>
    </w:p>
    <w:p>
      <w:pPr>
        <w:pStyle w:val="BodyText"/>
        <w:spacing w:after="120" w:line="312" w:lineRule="auto"/>
      </w:pPr>
      <w:r>
        <w:rPr>
          <w:rFonts w:ascii="Microsoft YaHei" w:hAnsi="Microsoft YaHei" w:eastAsia="Microsoft YaHei"/>
          <w:color w:val="000000"/>
          <w:sz w:val="21"/>
        </w:rPr>
        <w:t>退回后，客户经理工作台中的项目卡使用浅红色底、红色边框和“评审退回 待补材料”标签。卡片展示退回时间和原因，并把下一步改为查看退回要求和补充材料。该状态在重新推送后解除。</w:t>
      </w:r>
    </w:p>
    <w:p>
      <w:pPr>
        <w:pStyle w:val="Heading1"/>
        <w:keepNext/>
        <w:pageBreakBefore/>
      </w:pPr>
      <w:r>
        <w:rPr>
          <w:rFonts w:ascii="Microsoft YaHei" w:hAnsi="Microsoft YaHei" w:eastAsia="Microsoft YaHei"/>
          <w:b/>
          <w:color w:val="000000"/>
          <w:sz w:val="36"/>
        </w:rPr>
        <w:t>13 异常处理和常见问题</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59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现象</w:t>
            </w:r>
          </w:p>
        </w:tc>
        <w:tc>
          <w:tcPr>
            <w:tcW w:type="dxa" w:w="324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原因判断</w:t>
            </w:r>
          </w:p>
        </w:tc>
        <w:tc>
          <w:tcPr>
            <w:tcW w:type="dxa" w:w="403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处理方法</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页面提示访问令牌无效</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浏览器保留了失效令牌</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演示环境会自动清除并恢复身份选择；必要时重新选择身份</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上传后项目数据没有变化</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上传只生成候选字段</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进入材料与问题页查看解析并人工确认来源</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AI预审显示部分完成</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材料问题 模型未配置或某步骤失败</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查看步骤状态；补材料后重跑；确定性结果仍保留</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退回按钮不能点击</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未运行独立评审或未填写退回原因</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先完成独立评审，在按钮旁填写明确退回原因</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批准按钮不能点击</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仍有未评审节点或阻断结论</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按页面提示完成全部节点并闭环补件或现场核查</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提交后评审池没有项目</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提交未成功 身份权限不符或页面未刷新</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查看页面提示，确认报告提交成功后刷新评审池</w:t>
            </w:r>
          </w:p>
        </w:tc>
      </w:tr>
      <w:tr>
        <w:trPr>
          <w:cantSplit/>
        </w:trPr>
        <w:tc>
          <w:tcPr>
            <w:tcW w:type="dxa" w:w="2592"/>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扫描PDF没有候选字段</w:t>
            </w:r>
          </w:p>
        </w:tc>
        <w:tc>
          <w:tcPr>
            <w:tcW w:type="dxa" w:w="324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文件无文本层且OCR语言包未配置或图像不清</w:t>
            </w:r>
          </w:p>
        </w:tc>
        <w:tc>
          <w:tcPr>
            <w:tcW w:type="dxa" w:w="403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上传清晰扫描件或可复制文本，并由管理员配置OCR</w:t>
            </w:r>
          </w:p>
        </w:tc>
      </w:tr>
      <w:tr>
        <w:trPr>
          <w:cantSplit/>
        </w:trPr>
        <w:tc>
          <w:tcPr>
            <w:tcW w:type="dxa" w:w="2592"/>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报告章节显示来源已过期</w:t>
            </w:r>
          </w:p>
        </w:tc>
        <w:tc>
          <w:tcPr>
            <w:tcW w:type="dxa" w:w="324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补件或数据变化使原运行失效</w:t>
            </w:r>
          </w:p>
        </w:tc>
        <w:tc>
          <w:tcPr>
            <w:tcW w:type="dxa" w:w="403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重新预审并生成更新候选，核对后再确认</w:t>
            </w:r>
          </w:p>
        </w:tc>
      </w:tr>
    </w:tbl>
    <w:p>
      <w:pPr>
        <w:spacing w:after="40"/>
      </w:pPr>
    </w:p>
    <w:p>
      <w:pPr>
        <w:pStyle w:val="Heading1"/>
        <w:keepNext/>
        <w:pageBreakBefore/>
      </w:pPr>
      <w:r>
        <w:rPr>
          <w:rFonts w:ascii="Microsoft YaHei" w:hAnsi="Microsoft YaHei" w:eastAsia="Microsoft YaHei"/>
          <w:b/>
          <w:color w:val="000000"/>
          <w:sz w:val="36"/>
        </w:rPr>
        <w:t>14 生产接入边界</w:t>
      </w:r>
    </w:p>
    <w:p>
      <w:pPr>
        <w:pStyle w:val="BodyText"/>
        <w:spacing w:after="120" w:line="312" w:lineRule="auto"/>
      </w:pPr>
      <w:r>
        <w:rPr>
          <w:rFonts w:ascii="Microsoft YaHei" w:hAnsi="Microsoft YaHei" w:eastAsia="Microsoft YaHei"/>
          <w:color w:val="000000"/>
          <w:sz w:val="21"/>
        </w:rPr>
        <w:t>当前版本用于完整业务流程演示和本地或私有服务器验证。进入生产前，需要由兴邦确认正式数据字典、制度规则、报告模板、角色授权和模型部署方式。系统已经按可替换组件设计，但演示配置不能直接视为生产制度。</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65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范围</w:t>
            </w:r>
          </w:p>
        </w:tc>
        <w:tc>
          <w:tcPr>
            <w:tcW w:type="dxa" w:w="367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当前演示版</w:t>
            </w:r>
          </w:p>
        </w:tc>
        <w:tc>
          <w:tcPr>
            <w:tcW w:type="dxa" w:w="4536"/>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生产接入要求</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身份</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 配置管理员下拉切换</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服务端令牌 单点登录 角色和项目授权</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业务数据</w:t>
            </w:r>
          </w:p>
        </w:tc>
        <w:tc>
          <w:tcPr>
            <w:tcW w:type="dxa" w:w="36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脱敏SQLite多表数据</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ERP 数据仓库或业务库只读视图</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模型</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可选内网模型 未配置时明确失败</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确认内网URL 模型名 Key 工具调用和并发能力</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规则</w:t>
            </w:r>
          </w:p>
        </w:tc>
        <w:tc>
          <w:tcPr>
            <w:tcW w:type="dxa" w:w="36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固定演示规则和阈值</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经业务 法务 风控确认的正式规则和版本</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报告</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内置AI预审 独立评审和上会摘要</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导入客户正式模板并完成逐页验收</w:t>
            </w:r>
          </w:p>
        </w:tc>
      </w:tr>
      <w:tr>
        <w:trPr>
          <w:cantSplit/>
        </w:trPr>
        <w:tc>
          <w:tcPr>
            <w:tcW w:type="dxa" w:w="1656"/>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OCR</w:t>
            </w:r>
          </w:p>
        </w:tc>
        <w:tc>
          <w:tcPr>
            <w:tcW w:type="dxa" w:w="36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本地能力可配置</w:t>
            </w:r>
          </w:p>
        </w:tc>
        <w:tc>
          <w:tcPr>
            <w:tcW w:type="dxa" w:w="4536"/>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配置中文英文语言包并验证真实扫描件质量</w:t>
            </w:r>
          </w:p>
        </w:tc>
      </w:tr>
      <w:tr>
        <w:trPr>
          <w:cantSplit/>
        </w:trPr>
        <w:tc>
          <w:tcPr>
            <w:tcW w:type="dxa" w:w="1656"/>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运维</w:t>
            </w:r>
          </w:p>
        </w:tc>
        <w:tc>
          <w:tcPr>
            <w:tcW w:type="dxa" w:w="36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单机容器和SQLite持久化</w:t>
            </w:r>
          </w:p>
        </w:tc>
        <w:tc>
          <w:tcPr>
            <w:tcW w:type="dxa" w:w="4536"/>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备份 保留期 监控 并发 审批和回退流程</w:t>
            </w:r>
          </w:p>
        </w:tc>
      </w:tr>
    </w:tbl>
    <w:p>
      <w:pPr>
        <w:spacing w:after="40"/>
      </w:pPr>
    </w:p>
    <w:p>
      <w:pPr>
        <w:pStyle w:val="Heading2"/>
        <w:keepNext/>
        <w:pageBreakBefore w:val="0"/>
      </w:pPr>
      <w:r>
        <w:rPr>
          <w:rFonts w:ascii="Microsoft YaHei" w:hAnsi="Microsoft YaHei" w:eastAsia="Microsoft YaHei"/>
          <w:b/>
          <w:color w:val="000000"/>
          <w:sz w:val="28"/>
        </w:rPr>
        <w:t>14.1 上线前确认清单</w:t>
      </w:r>
    </w:p>
    <w:p>
      <w:pPr>
        <w:pStyle w:val="ListBullet"/>
        <w:spacing w:after="60" w:line="293" w:lineRule="auto"/>
      </w:pPr>
      <w:r>
        <w:rPr>
          <w:rFonts w:ascii="Microsoft YaHei" w:hAnsi="Microsoft YaHei" w:eastAsia="Microsoft YaHei"/>
          <w:color w:val="000000"/>
          <w:sz w:val="20"/>
        </w:rPr>
        <w:t>确认正式项目、人员、团队和数据域的授权映射。</w:t>
      </w:r>
    </w:p>
    <w:p>
      <w:pPr>
        <w:pStyle w:val="ListBullet"/>
        <w:spacing w:after="60" w:line="293" w:lineRule="auto"/>
      </w:pPr>
      <w:r>
        <w:rPr>
          <w:rFonts w:ascii="Microsoft YaHei" w:hAnsi="Microsoft YaHei" w:eastAsia="Microsoft YaHei"/>
          <w:color w:val="000000"/>
          <w:sz w:val="20"/>
        </w:rPr>
        <w:t>确认只读数据连接、允许访问的表、参数化SQL和字段口径。</w:t>
      </w:r>
    </w:p>
    <w:p>
      <w:pPr>
        <w:pStyle w:val="ListBullet"/>
        <w:spacing w:after="60" w:line="293" w:lineRule="auto"/>
      </w:pPr>
      <w:r>
        <w:rPr>
          <w:rFonts w:ascii="Microsoft YaHei" w:hAnsi="Microsoft YaHei" w:eastAsia="Microsoft YaHei"/>
          <w:color w:val="000000"/>
          <w:sz w:val="20"/>
        </w:rPr>
        <w:t>确认正式规则、审批边界、报告章节和导出格式。</w:t>
      </w:r>
    </w:p>
    <w:p>
      <w:pPr>
        <w:pStyle w:val="ListBullet"/>
        <w:spacing w:after="60" w:line="293" w:lineRule="auto"/>
      </w:pPr>
      <w:r>
        <w:rPr>
          <w:rFonts w:ascii="Microsoft YaHei" w:hAnsi="Microsoft YaHei" w:eastAsia="Microsoft YaHei"/>
          <w:color w:val="000000"/>
          <w:sz w:val="20"/>
        </w:rPr>
        <w:t>确认内网模型不会把项目材料发送到公共地址，并完成质量和并发评测。</w:t>
      </w:r>
    </w:p>
    <w:p>
      <w:pPr>
        <w:pStyle w:val="ListBullet"/>
        <w:spacing w:after="60" w:line="293" w:lineRule="auto"/>
      </w:pPr>
      <w:r>
        <w:rPr>
          <w:rFonts w:ascii="Microsoft YaHei" w:hAnsi="Microsoft YaHei" w:eastAsia="Microsoft YaHei"/>
          <w:color w:val="000000"/>
          <w:sz w:val="20"/>
        </w:rPr>
        <w:t>确认材料保密、日志脱敏、数据库备份、发布审批和故障回退要求。</w:t>
      </w:r>
    </w:p>
    <w:p>
      <w:pPr>
        <w:pStyle w:val="ListBullet"/>
        <w:spacing w:after="60" w:line="293" w:lineRule="auto"/>
      </w:pPr>
      <w:r>
        <w:rPr>
          <w:rFonts w:ascii="Microsoft YaHei" w:hAnsi="Microsoft YaHei" w:eastAsia="Microsoft YaHei"/>
          <w:color w:val="000000"/>
          <w:sz w:val="20"/>
        </w:rPr>
        <w:t>在正式环境完成全流程验收后，再关闭演示身份和演示数据开关。</w:t>
      </w:r>
    </w:p>
    <w:p>
      <w:pPr>
        <w:pStyle w:val="Heading1"/>
        <w:keepNext/>
        <w:pageBreakBefore/>
      </w:pPr>
      <w:r>
        <w:rPr>
          <w:rFonts w:ascii="Microsoft YaHei" w:hAnsi="Microsoft YaHei" w:eastAsia="Microsoft YaHei"/>
          <w:b/>
          <w:color w:val="000000"/>
          <w:sz w:val="36"/>
        </w:rPr>
        <w:t>附录A 业务数据表和数据卡</w:t>
      </w:r>
    </w:p>
    <w:p>
      <w:pPr>
        <w:pStyle w:val="Heading2"/>
        <w:keepNext/>
        <w:pageBreakBefore w:val="0"/>
      </w:pPr>
      <w:r>
        <w:rPr>
          <w:rFonts w:ascii="Microsoft YaHei" w:hAnsi="Microsoft YaHei" w:eastAsia="Microsoft YaHei"/>
          <w:b/>
          <w:color w:val="000000"/>
          <w:sz w:val="28"/>
        </w:rPr>
        <w:t>A.1 演示业务表</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3240"/>
            <w:shd w:fill="185C48"/>
            <w:tcMar>
              <w:top w:w="72" w:type="dxa"/>
              <w:start w:w="120" w:type="dxa"/>
              <w:bottom w:w="72" w:type="dxa"/>
              <w:end w:w="120" w:type="dxa"/>
            </w:tcMar>
            <w:vAlign w:val="center"/>
          </w:tcPr>
          <w:p>
            <w:pPr>
              <w:spacing w:after="0" w:line="283" w:lineRule="auto"/>
              <w:jc w:val="center"/>
            </w:pPr>
            <w:r>
              <w:rPr>
                <w:rFonts w:ascii="Microsoft YaHei" w:hAnsi="Microsoft YaHei" w:eastAsia="Microsoft YaHei"/>
                <w:b/>
                <w:color w:val="FFFFFF"/>
                <w:sz w:val="18"/>
              </w:rPr>
              <w:t>业务表</w:t>
            </w:r>
          </w:p>
        </w:tc>
        <w:tc>
          <w:tcPr>
            <w:tcW w:type="dxa" w:w="6624"/>
            <w:shd w:fill="185C48"/>
            <w:tcMar>
              <w:top w:w="72" w:type="dxa"/>
              <w:start w:w="120" w:type="dxa"/>
              <w:bottom w:w="72" w:type="dxa"/>
              <w:end w:w="120" w:type="dxa"/>
            </w:tcMar>
            <w:vAlign w:val="center"/>
          </w:tcPr>
          <w:p>
            <w:pPr>
              <w:spacing w:after="0" w:line="283" w:lineRule="auto"/>
              <w:jc w:val="center"/>
            </w:pPr>
            <w:r>
              <w:rPr>
                <w:rFonts w:ascii="Microsoft YaHei" w:hAnsi="Microsoft YaHei" w:eastAsia="Microsoft YaHei"/>
                <w:b/>
                <w:color w:val="FFFFFF"/>
                <w:sz w:val="18"/>
              </w:rPr>
              <w:t>用途</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corporate_customer</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对公客户主数据</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lease_project</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租赁项目主数据</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financing_scheme</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融资方案及版本</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financial_statement</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多期多口径财务报表</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lease_asset</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租赁物明细和唯一编号</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insurance_policy</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保险保单</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guarantee_measure</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保证金 保证和质押措施</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credit_snapshot</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征信快照</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legal_case</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涉诉和执行案件</w:t>
            </w:r>
          </w:p>
        </w:tc>
      </w:tr>
      <w:tr>
        <w:trPr>
          <w:cantSplit/>
        </w:trPr>
        <w:tc>
          <w:tcPr>
            <w:tcW w:type="dxa" w:w="3240"/>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repayment_source</w:t>
            </w:r>
          </w:p>
        </w:tc>
        <w:tc>
          <w:tcPr>
            <w:tcW w:type="dxa" w:w="6624"/>
            <w:tcMar>
              <w:top w:w="65" w:type="dxa"/>
              <w:start w:w="120" w:type="dxa"/>
              <w:bottom w:w="65" w:type="dxa"/>
              <w:end w:w="120" w:type="dxa"/>
            </w:tcMar>
            <w:shd w:fill="F5F6F6"/>
            <w:vAlign w:val="center"/>
          </w:tcPr>
          <w:p>
            <w:pPr>
              <w:spacing w:after="0" w:line="283" w:lineRule="auto"/>
              <w:jc w:val="left"/>
            </w:pPr>
            <w:r>
              <w:rPr>
                <w:rFonts w:ascii="Microsoft YaHei" w:hAnsi="Microsoft YaHei" w:eastAsia="Microsoft YaHei"/>
                <w:b w:val="0"/>
                <w:color w:val="000000"/>
                <w:sz w:val="17"/>
              </w:rPr>
              <w:t>还款来源和佐证状态</w:t>
            </w:r>
          </w:p>
        </w:tc>
      </w:tr>
      <w:tr>
        <w:trPr>
          <w:cantSplit/>
        </w:trPr>
        <w:tc>
          <w:tcPr>
            <w:tcW w:type="dxa" w:w="3240"/>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project_document</w:t>
            </w:r>
          </w:p>
        </w:tc>
        <w:tc>
          <w:tcPr>
            <w:tcW w:type="dxa" w:w="6624"/>
            <w:tcMar>
              <w:top w:w="65" w:type="dxa"/>
              <w:start w:w="120" w:type="dxa"/>
              <w:bottom w:w="65" w:type="dxa"/>
              <w:end w:w="120" w:type="dxa"/>
            </w:tcMar>
            <w:vAlign w:val="center"/>
          </w:tcPr>
          <w:p>
            <w:pPr>
              <w:spacing w:after="0" w:line="283" w:lineRule="auto"/>
              <w:jc w:val="left"/>
            </w:pPr>
            <w:r>
              <w:rPr>
                <w:rFonts w:ascii="Microsoft YaHei" w:hAnsi="Microsoft YaHei" w:eastAsia="Microsoft YaHei"/>
                <w:b w:val="0"/>
                <w:color w:val="000000"/>
                <w:sz w:val="17"/>
              </w:rPr>
              <w:t>项目材料索引 不保存文件正文</w:t>
            </w:r>
          </w:p>
        </w:tc>
      </w:tr>
    </w:tbl>
    <w:p>
      <w:pPr>
        <w:spacing w:after="40"/>
      </w:pPr>
    </w:p>
    <w:p>
      <w:pPr>
        <w:pStyle w:val="Heading2"/>
        <w:keepNext/>
        <w:pageBreakBefore w:val="0"/>
      </w:pPr>
      <w:r>
        <w:rPr>
          <w:rFonts w:ascii="Microsoft YaHei" w:hAnsi="Microsoft YaHei" w:eastAsia="Microsoft YaHei"/>
          <w:b/>
          <w:color w:val="000000"/>
          <w:sz w:val="28"/>
        </w:rPr>
        <w:t>A.2 已配置数据卡</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2304"/>
            <w:shd w:fill="185C48"/>
            <w:tcMar>
              <w:top w:w="68" w:type="dxa"/>
              <w:start w:w="120" w:type="dxa"/>
              <w:bottom w:w="68" w:type="dxa"/>
              <w:end w:w="120" w:type="dxa"/>
            </w:tcMar>
            <w:vAlign w:val="center"/>
          </w:tcPr>
          <w:p>
            <w:pPr>
              <w:spacing w:after="0" w:line="283" w:lineRule="auto"/>
              <w:jc w:val="center"/>
            </w:pPr>
            <w:r>
              <w:rPr>
                <w:rFonts w:ascii="Microsoft YaHei" w:hAnsi="Microsoft YaHei" w:eastAsia="Microsoft YaHei"/>
                <w:b/>
                <w:color w:val="FFFFFF"/>
                <w:sz w:val="18"/>
              </w:rPr>
              <w:t>数据卡</w:t>
            </w:r>
          </w:p>
        </w:tc>
        <w:tc>
          <w:tcPr>
            <w:tcW w:type="dxa" w:w="2880"/>
            <w:shd w:fill="185C48"/>
            <w:tcMar>
              <w:top w:w="68" w:type="dxa"/>
              <w:start w:w="120" w:type="dxa"/>
              <w:bottom w:w="68" w:type="dxa"/>
              <w:end w:w="120" w:type="dxa"/>
            </w:tcMar>
            <w:vAlign w:val="center"/>
          </w:tcPr>
          <w:p>
            <w:pPr>
              <w:spacing w:after="0" w:line="283" w:lineRule="auto"/>
              <w:jc w:val="center"/>
            </w:pPr>
            <w:r>
              <w:rPr>
                <w:rFonts w:ascii="Microsoft YaHei" w:hAnsi="Microsoft YaHei" w:eastAsia="Microsoft YaHei"/>
                <w:b/>
                <w:color w:val="FFFFFF"/>
                <w:sz w:val="18"/>
              </w:rPr>
              <w:t>关联数据</w:t>
            </w:r>
          </w:p>
        </w:tc>
        <w:tc>
          <w:tcPr>
            <w:tcW w:type="dxa" w:w="4680"/>
            <w:shd w:fill="185C48"/>
            <w:tcMar>
              <w:top w:w="68" w:type="dxa"/>
              <w:start w:w="120" w:type="dxa"/>
              <w:bottom w:w="68" w:type="dxa"/>
              <w:end w:w="120" w:type="dxa"/>
            </w:tcMar>
            <w:vAlign w:val="center"/>
          </w:tcPr>
          <w:p>
            <w:pPr>
              <w:spacing w:after="0" w:line="283" w:lineRule="auto"/>
              <w:jc w:val="center"/>
            </w:pPr>
            <w:r>
              <w:rPr>
                <w:rFonts w:ascii="Microsoft YaHei" w:hAnsi="Microsoft YaHei" w:eastAsia="Microsoft YaHei"/>
                <w:b/>
                <w:color w:val="FFFFFF"/>
                <w:sz w:val="18"/>
              </w:rPr>
              <w:t>主要标准字段</w:t>
            </w:r>
          </w:p>
        </w:tc>
      </w:tr>
      <w:tr>
        <w:trPr>
          <w:cantSplit/>
        </w:trPr>
        <w:tc>
          <w:tcPr>
            <w:tcW w:type="dxa" w:w="2304"/>
            <w:tcMar>
              <w:top w:w="58" w:type="dxa"/>
              <w:start w:w="120" w:type="dxa"/>
              <w:bottom w:w="58" w:type="dxa"/>
              <w:end w:w="120" w:type="dxa"/>
            </w:tcMar>
            <w:vAlign w:val="center"/>
          </w:tcPr>
          <w:p>
            <w:pPr>
              <w:spacing w:after="0" w:line="283" w:lineRule="auto"/>
              <w:jc w:val="center"/>
            </w:pPr>
            <w:r>
              <w:rPr>
                <w:rFonts w:ascii="Microsoft YaHei" w:hAnsi="Microsoft YaHei" w:eastAsia="Microsoft YaHei"/>
                <w:b w:val="0"/>
                <w:color w:val="000000"/>
                <w:sz w:val="16"/>
              </w:rPr>
              <w:t>项目与授信方案</w:t>
            </w:r>
          </w:p>
        </w:tc>
        <w:tc>
          <w:tcPr>
            <w:tcW w:type="dxa" w:w="28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客户 项目 融资方案</w:t>
            </w:r>
          </w:p>
        </w:tc>
        <w:tc>
          <w:tcPr>
            <w:tcW w:type="dxa" w:w="46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project.id customer.name facility.amount facility.term</w:t>
            </w:r>
          </w:p>
        </w:tc>
      </w:tr>
      <w:tr>
        <w:trPr>
          <w:cantSplit/>
        </w:trPr>
        <w:tc>
          <w:tcPr>
            <w:tcW w:type="dxa" w:w="2304"/>
            <w:tcMar>
              <w:top w:w="58" w:type="dxa"/>
              <w:start w:w="120" w:type="dxa"/>
              <w:bottom w:w="58" w:type="dxa"/>
              <w:end w:w="120" w:type="dxa"/>
            </w:tcMar>
            <w:shd w:fill="F5F6F6"/>
            <w:vAlign w:val="center"/>
          </w:tcPr>
          <w:p>
            <w:pPr>
              <w:spacing w:after="0" w:line="283" w:lineRule="auto"/>
              <w:jc w:val="center"/>
            </w:pPr>
            <w:r>
              <w:rPr>
                <w:rFonts w:ascii="Microsoft YaHei" w:hAnsi="Microsoft YaHei" w:eastAsia="Microsoft YaHei"/>
                <w:b w:val="0"/>
                <w:color w:val="000000"/>
                <w:sz w:val="16"/>
              </w:rPr>
              <w:t>多期财务报表</w:t>
            </w:r>
          </w:p>
        </w:tc>
        <w:tc>
          <w:tcPr>
            <w:tcW w:type="dxa" w:w="28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财务报表</w:t>
            </w:r>
          </w:p>
        </w:tc>
        <w:tc>
          <w:tcPr>
            <w:tcW w:type="dxa" w:w="46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期间 口径 资产 负债 经营现金流</w:t>
            </w:r>
          </w:p>
        </w:tc>
      </w:tr>
      <w:tr>
        <w:trPr>
          <w:cantSplit/>
        </w:trPr>
        <w:tc>
          <w:tcPr>
            <w:tcW w:type="dxa" w:w="2304"/>
            <w:tcMar>
              <w:top w:w="58" w:type="dxa"/>
              <w:start w:w="120" w:type="dxa"/>
              <w:bottom w:w="58" w:type="dxa"/>
              <w:end w:w="120" w:type="dxa"/>
            </w:tcMar>
            <w:vAlign w:val="center"/>
          </w:tcPr>
          <w:p>
            <w:pPr>
              <w:spacing w:after="0" w:line="283" w:lineRule="auto"/>
              <w:jc w:val="center"/>
            </w:pPr>
            <w:r>
              <w:rPr>
                <w:rFonts w:ascii="Microsoft YaHei" w:hAnsi="Microsoft YaHei" w:eastAsia="Microsoft YaHei"/>
                <w:b w:val="0"/>
                <w:color w:val="000000"/>
                <w:sz w:val="16"/>
              </w:rPr>
              <w:t>征信与涉诉汇总</w:t>
            </w:r>
          </w:p>
        </w:tc>
        <w:tc>
          <w:tcPr>
            <w:tcW w:type="dxa" w:w="28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征信 涉诉</w:t>
            </w:r>
          </w:p>
        </w:tc>
        <w:tc>
          <w:tcPr>
            <w:tcW w:type="dxa" w:w="46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报告日期 逾期 查询次数 案件数量和金额</w:t>
            </w:r>
          </w:p>
        </w:tc>
      </w:tr>
      <w:tr>
        <w:trPr>
          <w:cantSplit/>
        </w:trPr>
        <w:tc>
          <w:tcPr>
            <w:tcW w:type="dxa" w:w="2304"/>
            <w:tcMar>
              <w:top w:w="58" w:type="dxa"/>
              <w:start w:w="120" w:type="dxa"/>
              <w:bottom w:w="58" w:type="dxa"/>
              <w:end w:w="120" w:type="dxa"/>
            </w:tcMar>
            <w:shd w:fill="F5F6F6"/>
            <w:vAlign w:val="center"/>
          </w:tcPr>
          <w:p>
            <w:pPr>
              <w:spacing w:after="0" w:line="283" w:lineRule="auto"/>
              <w:jc w:val="center"/>
            </w:pPr>
            <w:r>
              <w:rPr>
                <w:rFonts w:ascii="Microsoft YaHei" w:hAnsi="Microsoft YaHei" w:eastAsia="Microsoft YaHei"/>
                <w:b w:val="0"/>
                <w:color w:val="000000"/>
                <w:sz w:val="16"/>
              </w:rPr>
              <w:t>租赁物与增信汇总</w:t>
            </w:r>
          </w:p>
        </w:tc>
        <w:tc>
          <w:tcPr>
            <w:tcW w:type="dxa" w:w="28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租赁物 保险 增信</w:t>
            </w:r>
          </w:p>
        </w:tc>
        <w:tc>
          <w:tcPr>
            <w:tcW w:type="dxa" w:w="4680"/>
            <w:tcMar>
              <w:top w:w="58" w:type="dxa"/>
              <w:start w:w="120" w:type="dxa"/>
              <w:bottom w:w="58" w:type="dxa"/>
              <w:end w:w="120" w:type="dxa"/>
            </w:tcMar>
            <w:shd w:fill="F5F6F6"/>
            <w:vAlign w:val="center"/>
          </w:tcPr>
          <w:p>
            <w:pPr>
              <w:spacing w:after="0" w:line="283" w:lineRule="auto"/>
              <w:jc w:val="left"/>
            </w:pPr>
            <w:r>
              <w:rPr>
                <w:rFonts w:ascii="Microsoft YaHei" w:hAnsi="Microsoft YaHei" w:eastAsia="Microsoft YaHei"/>
                <w:b w:val="0"/>
                <w:color w:val="000000"/>
                <w:sz w:val="16"/>
              </w:rPr>
              <w:t>租赁物价值 重复编号 保额 保证金 保证金额</w:t>
            </w:r>
          </w:p>
        </w:tc>
      </w:tr>
      <w:tr>
        <w:trPr>
          <w:cantSplit/>
        </w:trPr>
        <w:tc>
          <w:tcPr>
            <w:tcW w:type="dxa" w:w="2304"/>
            <w:tcMar>
              <w:top w:w="58" w:type="dxa"/>
              <w:start w:w="120" w:type="dxa"/>
              <w:bottom w:w="58" w:type="dxa"/>
              <w:end w:w="120" w:type="dxa"/>
            </w:tcMar>
            <w:vAlign w:val="center"/>
          </w:tcPr>
          <w:p>
            <w:pPr>
              <w:spacing w:after="0" w:line="283" w:lineRule="auto"/>
              <w:jc w:val="center"/>
            </w:pPr>
            <w:r>
              <w:rPr>
                <w:rFonts w:ascii="Microsoft YaHei" w:hAnsi="Microsoft YaHei" w:eastAsia="Microsoft YaHei"/>
                <w:b w:val="0"/>
                <w:color w:val="000000"/>
                <w:sz w:val="16"/>
              </w:rPr>
              <w:t>还款来源与材料</w:t>
            </w:r>
          </w:p>
        </w:tc>
        <w:tc>
          <w:tcPr>
            <w:tcW w:type="dxa" w:w="28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还款来源</w:t>
            </w:r>
          </w:p>
        </w:tc>
        <w:tc>
          <w:tcPr>
            <w:tcW w:type="dxa" w:w="4680"/>
            <w:tcMar>
              <w:top w:w="58" w:type="dxa"/>
              <w:start w:w="120" w:type="dxa"/>
              <w:bottom w:w="58" w:type="dxa"/>
              <w:end w:w="120" w:type="dxa"/>
            </w:tcMar>
            <w:vAlign w:val="center"/>
          </w:tcPr>
          <w:p>
            <w:pPr>
              <w:spacing w:after="0" w:line="283" w:lineRule="auto"/>
              <w:jc w:val="left"/>
            </w:pPr>
            <w:r>
              <w:rPr>
                <w:rFonts w:ascii="Microsoft YaHei" w:hAnsi="Microsoft YaHei" w:eastAsia="Microsoft YaHei"/>
                <w:b w:val="0"/>
                <w:color w:val="000000"/>
                <w:sz w:val="16"/>
              </w:rPr>
              <w:t>回款依赖 材料状态 预计金额 来源类型</w:t>
            </w:r>
          </w:p>
        </w:tc>
      </w:tr>
    </w:tbl>
    <w:p>
      <w:pPr>
        <w:spacing w:after="40"/>
      </w:pPr>
    </w:p>
    <w:p>
      <w:pPr>
        <w:pStyle w:val="Heading1"/>
        <w:keepNext/>
        <w:pageBreakBefore/>
      </w:pPr>
      <w:r>
        <w:rPr>
          <w:rFonts w:ascii="Microsoft YaHei" w:hAnsi="Microsoft YaHei" w:eastAsia="Microsoft YaHei"/>
          <w:b/>
          <w:color w:val="000000"/>
          <w:sz w:val="36"/>
        </w:rPr>
        <w:t>附录B 金租对公业务Skills</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302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Skill卡</w:t>
            </w:r>
          </w:p>
        </w:tc>
        <w:tc>
          <w:tcPr>
            <w:tcW w:type="dxa" w:w="4968"/>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核查范围</w:t>
            </w:r>
          </w:p>
        </w:tc>
        <w:tc>
          <w:tcPr>
            <w:tcW w:type="dxa" w:w="187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主要使用角色</w:t>
            </w:r>
          </w:p>
        </w:tc>
      </w:tr>
      <w:tr>
        <w:trPr>
          <w:cantSplit/>
        </w:trPr>
        <w:tc>
          <w:tcPr>
            <w:tcW w:type="dxa" w:w="302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承租人及还款能力核查</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经营 财务 信用 现金流和还款来源</w:t>
            </w:r>
          </w:p>
        </w:tc>
        <w:tc>
          <w:tcPr>
            <w:tcW w:type="dxa" w:w="18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租赁物适格性与权属核查</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真实性 权属 特定化 估值 保险和处置</w:t>
            </w:r>
          </w:p>
        </w:tc>
        <w:tc>
          <w:tcPr>
            <w:tcW w:type="dxa" w:w="18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售后回租真实性核查</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原始权属 所有权转移 估值 融资需求和用途</w:t>
            </w:r>
          </w:p>
        </w:tc>
        <w:tc>
          <w:tcPr>
            <w:tcW w:type="dxa" w:w="18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增信 关联交易与集中度核查</w:t>
            </w:r>
          </w:p>
        </w:tc>
        <w:tc>
          <w:tcPr>
            <w:tcW w:type="dxa" w:w="4968"/>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保证 抵质押 关联关系和集中度缺口</w:t>
            </w:r>
          </w:p>
        </w:tc>
        <w:tc>
          <w:tcPr>
            <w:tcW w:type="dxa" w:w="187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客户经理 评审员</w:t>
            </w:r>
          </w:p>
        </w:tc>
      </w:tr>
      <w:tr>
        <w:trPr>
          <w:cantSplit/>
        </w:trPr>
        <w:tc>
          <w:tcPr>
            <w:tcW w:type="dxa" w:w="3024"/>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独立评审与报告证据核查</w:t>
            </w:r>
          </w:p>
        </w:tc>
        <w:tc>
          <w:tcPr>
            <w:tcW w:type="dxa" w:w="4968"/>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全链路复核 人工决定和报告证据</w:t>
            </w:r>
          </w:p>
        </w:tc>
        <w:tc>
          <w:tcPr>
            <w:tcW w:type="dxa" w:w="187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评审员</w:t>
            </w:r>
          </w:p>
        </w:tc>
      </w:tr>
    </w:tbl>
    <w:p>
      <w:pPr>
        <w:spacing w:after="40"/>
      </w:pPr>
    </w:p>
    <w:p>
      <w:pPr>
        <w:pStyle w:val="Heading2"/>
        <w:keepNext/>
        <w:pageBreakBefore w:val="0"/>
      </w:pPr>
      <w:r>
        <w:rPr>
          <w:rFonts w:ascii="Microsoft YaHei" w:hAnsi="Microsoft YaHei" w:eastAsia="Microsoft YaHei"/>
          <w:b/>
          <w:color w:val="000000"/>
          <w:sz w:val="28"/>
        </w:rPr>
        <w:t>B.1 确定性检查</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97"/>
        <w:gridCol w:w="4997"/>
      </w:tblGrid>
      <w:tr>
        <w:trPr>
          <w:tblHeader w:val="true"/>
          <w:cantSplit/>
        </w:trPr>
        <w:tc>
          <w:tcPr>
            <w:tcW w:type="dxa" w:w="331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检查</w:t>
            </w:r>
          </w:p>
        </w:tc>
        <w:tc>
          <w:tcPr>
            <w:tcW w:type="dxa" w:w="6552"/>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业务含义</w:t>
            </w:r>
          </w:p>
        </w:tc>
      </w:tr>
      <w:tr>
        <w:trPr>
          <w:cantSplit/>
        </w:trPr>
        <w:tc>
          <w:tcPr>
            <w:tcW w:type="dxa" w:w="331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负债金额来源一致性</w:t>
            </w:r>
          </w:p>
        </w:tc>
        <w:tc>
          <w:tcPr>
            <w:tcW w:type="dxa" w:w="65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比较财报负债和尽调负债，发现口径冲突</w:t>
            </w:r>
          </w:p>
        </w:tc>
      </w:tr>
      <w:tr>
        <w:trPr>
          <w:cantSplit/>
        </w:trPr>
        <w:tc>
          <w:tcPr>
            <w:tcW w:type="dxa" w:w="331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经营现金流完整性</w:t>
            </w:r>
          </w:p>
        </w:tc>
        <w:tc>
          <w:tcPr>
            <w:tcW w:type="dxa" w:w="65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检查关键现金流字段是否缺失</w:t>
            </w:r>
          </w:p>
        </w:tc>
      </w:tr>
      <w:tr>
        <w:trPr>
          <w:cantSplit/>
        </w:trPr>
        <w:tc>
          <w:tcPr>
            <w:tcW w:type="dxa" w:w="331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设备清单重复</w:t>
            </w:r>
          </w:p>
        </w:tc>
        <w:tc>
          <w:tcPr>
            <w:tcW w:type="dxa" w:w="6552"/>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8"/>
              </w:rPr>
              <w:t>按设备唯一编号识别重复行</w:t>
            </w:r>
          </w:p>
        </w:tc>
      </w:tr>
      <w:tr>
        <w:trPr>
          <w:cantSplit/>
        </w:trPr>
        <w:tc>
          <w:tcPr>
            <w:tcW w:type="dxa" w:w="331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租赁物价值覆盖测算</w:t>
            </w:r>
          </w:p>
        </w:tc>
        <w:tc>
          <w:tcPr>
            <w:tcW w:type="dxa" w:w="6552"/>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8"/>
              </w:rPr>
              <w:t>使用十进制计算租赁物价值与融资金额的比率</w:t>
            </w:r>
          </w:p>
        </w:tc>
      </w:tr>
    </w:tbl>
    <w:p>
      <w:pPr>
        <w:spacing w:after="40"/>
      </w:pPr>
    </w:p>
    <w:p>
      <w:pPr>
        <w:pStyle w:val="BodyText"/>
        <w:spacing w:after="120" w:line="312" w:lineRule="auto"/>
      </w:pPr>
      <w:r>
        <w:rPr>
          <w:rFonts w:ascii="Microsoft YaHei" w:hAnsi="Microsoft YaHei" w:eastAsia="Microsoft YaHei"/>
          <w:color w:val="000000"/>
          <w:sz w:val="21"/>
        </w:rPr>
        <w:t>监管或业务方法用于确定核查方向，不自动生成公司内部数值阈值。正式阈值必须通过规则版本管理和授权发布。</w:t>
      </w:r>
    </w:p>
    <w:p>
      <w:pPr>
        <w:pStyle w:val="Heading1"/>
        <w:keepNext/>
        <w:pageBreakBefore/>
      </w:pPr>
      <w:r>
        <w:rPr>
          <w:rFonts w:ascii="Microsoft YaHei" w:hAnsi="Microsoft YaHei" w:eastAsia="Microsoft YaHei"/>
          <w:b/>
          <w:color w:val="000000"/>
          <w:sz w:val="36"/>
        </w:rPr>
        <w:t>附录C 演示验收清单</w:t>
      </w:r>
    </w:p>
    <w:tbl>
      <w:tblPr>
        <w:tblStyle w:val="TableGrid"/>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31"/>
        <w:gridCol w:w="3331"/>
        <w:gridCol w:w="3331"/>
      </w:tblGrid>
      <w:tr>
        <w:trPr>
          <w:tblHeader w:val="true"/>
          <w:cantSplit/>
        </w:trPr>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验收项</w:t>
            </w:r>
          </w:p>
        </w:tc>
        <w:tc>
          <w:tcPr>
            <w:tcW w:type="dxa" w:w="6264"/>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通过标准</w:t>
            </w:r>
          </w:p>
        </w:tc>
        <w:tc>
          <w:tcPr>
            <w:tcW w:type="dxa" w:w="1800"/>
            <w:shd w:fill="185C48"/>
            <w:tcMar>
              <w:top w:w="110" w:type="dxa"/>
              <w:start w:w="120" w:type="dxa"/>
              <w:bottom w:w="110" w:type="dxa"/>
              <w:end w:w="120" w:type="dxa"/>
            </w:tcMar>
            <w:vAlign w:val="center"/>
          </w:tcPr>
          <w:p>
            <w:pPr>
              <w:spacing w:after="0" w:line="283" w:lineRule="auto"/>
              <w:jc w:val="center"/>
            </w:pPr>
            <w:r>
              <w:rPr>
                <w:rFonts w:ascii="Microsoft YaHei" w:hAnsi="Microsoft YaHei" w:eastAsia="Microsoft YaHei"/>
                <w:b/>
                <w:color w:val="FFFFFF"/>
                <w:sz w:val="18"/>
              </w:rPr>
              <w:t>结果</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身份</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每个页面明显显示当前角色和当前项目</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客户经理</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能上传材料 查看解析 确认来源并发起AI预审</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问题闭环</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问题显示影响和解决动作 补件后重跑保留历史</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报告</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能生成AI预审报告 查看来源版本并提交评审</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评审池</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客户经理和评审员看到相同提交时间和等待时长</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评审员</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能领取项目并对六个业务主题逐项形成结论</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退回</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退回必须填写原因 客户经理工作台显示红色项目卡</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批准</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全部节点闭环后生成独立评审报告</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时效</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处理 排队 外部等待和系统执行分开显示</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配置</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能查看多表数据卡 金租Skills 规则 方案和版本</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vAlign w:val="center"/>
          </w:tcPr>
          <w:p>
            <w:pPr>
              <w:spacing w:after="0" w:line="283" w:lineRule="auto"/>
              <w:jc w:val="center"/>
            </w:pPr>
            <w:r>
              <w:rPr>
                <w:rFonts w:ascii="Microsoft YaHei" w:hAnsi="Microsoft YaHei" w:eastAsia="Microsoft YaHei"/>
                <w:b w:val="0"/>
                <w:color w:val="000000"/>
                <w:sz w:val="17"/>
              </w:rPr>
              <w:t>追溯</w:t>
            </w:r>
          </w:p>
        </w:tc>
        <w:tc>
          <w:tcPr>
            <w:tcW w:type="dxa" w:w="6264"/>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运行 问题 评审决定和报告能回到材料及组件版本</w:t>
            </w:r>
          </w:p>
        </w:tc>
        <w:tc>
          <w:tcPr>
            <w:tcW w:type="dxa" w:w="1800"/>
            <w:tcMar>
              <w:top w:w="105" w:type="dxa"/>
              <w:start w:w="120" w:type="dxa"/>
              <w:bottom w:w="105" w:type="dxa"/>
              <w:end w:w="120" w:type="dxa"/>
            </w:tcMar>
            <w:vAlign w:val="center"/>
          </w:tcPr>
          <w:p>
            <w:pPr>
              <w:spacing w:after="0" w:line="283" w:lineRule="auto"/>
              <w:jc w:val="left"/>
            </w:pPr>
            <w:r>
              <w:rPr>
                <w:rFonts w:ascii="Microsoft YaHei" w:hAnsi="Microsoft YaHei" w:eastAsia="Microsoft YaHei"/>
                <w:b w:val="0"/>
                <w:color w:val="000000"/>
                <w:sz w:val="17"/>
              </w:rPr>
              <w:t>□ 通过  □ 不通过</w:t>
            </w:r>
          </w:p>
        </w:tc>
      </w:tr>
      <w:tr>
        <w:trPr>
          <w:cantSplit/>
        </w:trPr>
        <w:tc>
          <w:tcPr>
            <w:tcW w:type="dxa" w:w="1800"/>
            <w:tcMar>
              <w:top w:w="105" w:type="dxa"/>
              <w:start w:w="120" w:type="dxa"/>
              <w:bottom w:w="105" w:type="dxa"/>
              <w:end w:w="120" w:type="dxa"/>
            </w:tcMar>
            <w:shd w:fill="F5F6F6"/>
            <w:vAlign w:val="center"/>
          </w:tcPr>
          <w:p>
            <w:pPr>
              <w:spacing w:after="0" w:line="283" w:lineRule="auto"/>
              <w:jc w:val="center"/>
            </w:pPr>
            <w:r>
              <w:rPr>
                <w:rFonts w:ascii="Microsoft YaHei" w:hAnsi="Microsoft YaHei" w:eastAsia="Microsoft YaHei"/>
                <w:b w:val="0"/>
                <w:color w:val="000000"/>
                <w:sz w:val="17"/>
              </w:rPr>
              <w:t>边界</w:t>
            </w:r>
          </w:p>
        </w:tc>
        <w:tc>
          <w:tcPr>
            <w:tcW w:type="dxa" w:w="6264"/>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演示身份 数据和阈值均有明确非生产说明</w:t>
            </w:r>
          </w:p>
        </w:tc>
        <w:tc>
          <w:tcPr>
            <w:tcW w:type="dxa" w:w="1800"/>
            <w:tcMar>
              <w:top w:w="105" w:type="dxa"/>
              <w:start w:w="120" w:type="dxa"/>
              <w:bottom w:w="105" w:type="dxa"/>
              <w:end w:w="120" w:type="dxa"/>
            </w:tcMar>
            <w:shd w:fill="F5F6F6"/>
            <w:vAlign w:val="center"/>
          </w:tcPr>
          <w:p>
            <w:pPr>
              <w:spacing w:after="0" w:line="283" w:lineRule="auto"/>
              <w:jc w:val="left"/>
            </w:pPr>
            <w:r>
              <w:rPr>
                <w:rFonts w:ascii="Microsoft YaHei" w:hAnsi="Microsoft YaHei" w:eastAsia="Microsoft YaHei"/>
                <w:b w:val="0"/>
                <w:color w:val="000000"/>
                <w:sz w:val="17"/>
              </w:rPr>
              <w:t>□ 通过  □ 不通过</w:t>
            </w:r>
          </w:p>
        </w:tc>
      </w:tr>
    </w:tbl>
    <w:p>
      <w:pPr>
        <w:spacing w:after="40"/>
      </w:pPr>
    </w:p>
    <w:p>
      <w:pPr>
        <w:pStyle w:val="Heading2"/>
        <w:keepNext/>
        <w:pageBreakBefore w:val="0"/>
      </w:pPr>
      <w:r>
        <w:rPr>
          <w:rFonts w:ascii="Microsoft YaHei" w:hAnsi="Microsoft YaHei" w:eastAsia="Microsoft YaHei"/>
          <w:b/>
          <w:color w:val="000000"/>
          <w:sz w:val="28"/>
        </w:rPr>
        <w:t>文档维护</w:t>
      </w:r>
    </w:p>
    <w:p>
      <w:pPr>
        <w:pStyle w:val="BodyText"/>
        <w:spacing w:after="120" w:line="312" w:lineRule="auto"/>
      </w:pPr>
      <w:r>
        <w:rPr>
          <w:rFonts w:ascii="Microsoft YaHei" w:hAnsi="Microsoft YaHei" w:eastAsia="Microsoft YaHei"/>
          <w:color w:val="000000"/>
          <w:sz w:val="21"/>
        </w:rPr>
        <w:t>当页面、角色权限、业务流程、数据卡、Skills、规则或报告模板发生变化时，应同步更新本手册并重新完成演示验收。手册版本应与可部署的系统版本对应，避免使用旧流程指导新页面。</w:t>
      </w:r>
    </w:p>
    <w:sectPr w:rsidR="00FC693F" w:rsidRPr="0006063C" w:rsidSect="00034616">
      <w:headerReference w:type="default" r:id="rId9"/>
      <w:footerReference w:type="default" r:id="rId10"/>
      <w:pgSz w:w="12240" w:h="15840"/>
      <w:pgMar w:top="1037" w:right="1123" w:bottom="979" w:left="1123"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Microsoft YaHei" w:hAnsi="Microsoft YaHei" w:eastAsia="Microsoft YaHei"/>
        <w:color w:val="666666"/>
        <w:sz w:val="17"/>
      </w:rPr>
      <w:t xml:space="preserve">第 </w:t>
      <w:fldChar w:fldCharType="begin"/>
      <w:instrText xml:space="preserve"> PAGE </w:instrText>
      <w:fldChar w:fldCharType="separate"/>
      <w:t>1</w:t>
      <w:fldChar w:fldCharType="end"/>
    </w:r>
    <w:r>
      <w:rPr>
        <w:rFonts w:ascii="Microsoft YaHei" w:hAnsi="Microsoft YaHei" w:eastAsia="Microsoft YaHei"/>
        <w:color w:val="666666"/>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Microsoft YaHei" w:hAnsi="Microsoft YaHei" w:eastAsia="Microsoft YaHei"/>
        <w:color w:val="666666"/>
        <w:sz w:val="17"/>
      </w:rPr>
      <w:t>兴邦金租对公智能评审平台用户使用手册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after="100"/>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Microsoft YaHei" w:hAnsi="Microsoft YaHei"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Microsoft YaHei" w:hAnsi="Microsoft YaHei" w:eastAsia="Microsoft YaHe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兴邦金租对公智能评审平台用户使用手册</dc:title>
  <dc:subject>对公融资租赁项目AI预审和独立评审用户操作手册</dc:subject>
  <dc:creator>兴邦金租项目组</dc:creator>
  <cp:keywords>兴邦金租, 对公业务, AI预审, 独立评审, mini-openclaw</cp:keywords>
  <dc:description>对应2026年9月演示部署版</dc:description>
  <cp:lastModifiedBy/>
  <cp:revision>1</cp:revision>
  <dcterms:created xsi:type="dcterms:W3CDTF">2013-12-23T23:15:00Z</dcterms:created>
  <dcterms:modified xsi:type="dcterms:W3CDTF">2013-12-23T23:15:00Z</dcterms:modified>
  <cp:category/>
  <cp:version>1.1</cp:version>
</cp:coreProperties>
</file>