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pStyle w:val="Title"/>
        <w:jc w:val="center"/>
      </w:pPr>
      <w:r>
        <w:rPr>
          <w:rFonts w:ascii="Microsoft YaHei" w:hAnsi="Microsoft YaHei" w:eastAsia="Microsoft YaHei"/>
          <w:color w:val="121A16"/>
          <w:sz w:val="52"/>
        </w:rPr>
        <w:t>兴邦金租对公智能评审平台详细演示手册</w:t>
      </w:r>
    </w:p>
    <w:p>
      <w:pPr>
        <w:pStyle w:val="Subtitle"/>
        <w:jc w:val="center"/>
      </w:pPr>
      <w:r>
        <w:rPr>
          <w:rFonts w:ascii="Microsoft YaHei" w:hAnsi="Microsoft YaHei" w:eastAsia="Microsoft YaHei"/>
          <w:color w:val="121A16"/>
          <w:sz w:val="26"/>
        </w:rPr>
        <w:t>客户经理预审 评审池 独立评审 配置治理和时效看板完整演示步骤</w:t>
      </w:r>
    </w:p>
    <w:p/>
    <w:p>
      <w:pPr>
        <w:jc w:val="center"/>
      </w:pPr>
      <w:r>
        <w:rPr>
          <w:rFonts w:ascii="Microsoft YaHei" w:hAnsi="Microsoft YaHei" w:eastAsia="Microsoft YaHei"/>
          <w:color w:val="121A16"/>
          <w:sz w:val="21"/>
        </w:rPr>
        <w:t>适用对象：售前演示人员、业务负责人、客户经理、评审员、配置管理员和项目验收人员</w:t>
      </w:r>
    </w:p>
    <w:p>
      <w:pPr>
        <w:jc w:val="center"/>
      </w:pPr>
      <w:r>
        <w:rPr>
          <w:rFonts w:ascii="Microsoft YaHei" w:hAnsi="Microsoft YaHei" w:eastAsia="Microsoft YaHei"/>
          <w:color w:val="121A16"/>
          <w:sz w:val="21"/>
        </w:rPr>
        <w:t>文档版本：v1.0</w:t>
      </w:r>
    </w:p>
    <w:p>
      <w:pPr>
        <w:jc w:val="center"/>
      </w:pPr>
      <w:r>
        <w:rPr>
          <w:rFonts w:ascii="Microsoft YaHei" w:hAnsi="Microsoft YaHei" w:eastAsia="Microsoft YaHei"/>
          <w:color w:val="121A16"/>
          <w:sz w:val="21"/>
        </w:rPr>
        <w:t>代码基线：Git b10093f</w:t>
      </w:r>
    </w:p>
    <w:p>
      <w:pPr>
        <w:jc w:val="center"/>
      </w:pPr>
      <w:r>
        <w:rPr>
          <w:rFonts w:ascii="Microsoft YaHei" w:hAnsi="Microsoft YaHei" w:eastAsia="Microsoft YaHei"/>
          <w:color w:val="121A16"/>
          <w:sz w:val="21"/>
        </w:rPr>
        <w:t>建议演示时长：完整演示四十五至六十分钟，精简演示二十五分钟</w:t>
      </w:r>
    </w:p>
    <w:p>
      <w:r>
        <w:br w:type="page"/>
      </w:r>
    </w:p>
    <w:p>
      <w:pPr>
        <w:pStyle w:val="Heading1"/>
        <w:keepNext/>
        <w:keepLines/>
      </w:pPr>
      <w:r>
        <w:t>目录</w:t>
      </w:r>
    </w:p>
    <w:p>
      <w:pPr>
        <w:spacing w:after="0" w:line="240" w:lineRule="auto"/>
        <w:ind w:left="173"/>
      </w:pPr>
      <w:r>
        <w:rPr>
          <w:rFonts w:ascii="Microsoft YaHei" w:hAnsi="Microsoft YaHei" w:eastAsia="Microsoft YaHei"/>
          <w:color w:val="121A16"/>
          <w:sz w:val="17"/>
        </w:rPr>
        <w:t>一 演示目的与结论</w:t>
      </w:r>
    </w:p>
    <w:p>
      <w:pPr>
        <w:spacing w:after="0" w:line="240" w:lineRule="auto"/>
        <w:ind w:left="173"/>
      </w:pPr>
      <w:r>
        <w:rPr>
          <w:rFonts w:ascii="Microsoft YaHei" w:hAnsi="Microsoft YaHei" w:eastAsia="Microsoft YaHei"/>
          <w:color w:val="121A16"/>
          <w:sz w:val="17"/>
        </w:rPr>
        <w:t>二 演示角色与各自任务</w:t>
      </w:r>
    </w:p>
    <w:p>
      <w:pPr>
        <w:spacing w:after="0" w:line="240" w:lineRule="auto"/>
        <w:ind w:left="173"/>
      </w:pPr>
      <w:r>
        <w:rPr>
          <w:rFonts w:ascii="Microsoft YaHei" w:hAnsi="Microsoft YaHei" w:eastAsia="Microsoft YaHei"/>
          <w:color w:val="121A16"/>
          <w:sz w:val="17"/>
        </w:rPr>
        <w:t>三 演示项目与推荐故事线</w:t>
      </w:r>
    </w:p>
    <w:p>
      <w:pPr>
        <w:spacing w:after="0" w:line="240" w:lineRule="auto"/>
        <w:ind w:left="173"/>
      </w:pPr>
      <w:r>
        <w:rPr>
          <w:rFonts w:ascii="Microsoft YaHei" w:hAnsi="Microsoft YaHei" w:eastAsia="Microsoft YaHei"/>
          <w:color w:val="121A16"/>
          <w:sz w:val="17"/>
        </w:rPr>
        <w:t>四 演示前准备</w:t>
      </w:r>
    </w:p>
    <w:p>
      <w:pPr>
        <w:spacing w:after="0" w:line="240" w:lineRule="auto"/>
        <w:ind w:left="173"/>
      </w:pPr>
      <w:r>
        <w:rPr>
          <w:rFonts w:ascii="Microsoft YaHei" w:hAnsi="Microsoft YaHei" w:eastAsia="Microsoft YaHei"/>
          <w:color w:val="121A16"/>
          <w:sz w:val="17"/>
        </w:rPr>
        <w:t>五 完整演示路线</w:t>
      </w:r>
    </w:p>
    <w:p>
      <w:pPr>
        <w:spacing w:after="0" w:line="240" w:lineRule="auto"/>
        <w:ind w:left="173"/>
      </w:pPr>
      <w:r>
        <w:rPr>
          <w:rFonts w:ascii="Microsoft YaHei" w:hAnsi="Microsoft YaHei" w:eastAsia="Microsoft YaHei"/>
          <w:color w:val="121A16"/>
          <w:sz w:val="17"/>
        </w:rPr>
        <w:t>六 客户经理演示步骤</w:t>
      </w:r>
    </w:p>
    <w:p>
      <w:pPr>
        <w:spacing w:after="0" w:line="240" w:lineRule="auto"/>
        <w:ind w:left="173"/>
      </w:pPr>
      <w:r>
        <w:rPr>
          <w:rFonts w:ascii="Microsoft YaHei" w:hAnsi="Microsoft YaHei" w:eastAsia="Microsoft YaHei"/>
          <w:color w:val="121A16"/>
          <w:sz w:val="17"/>
        </w:rPr>
        <w:t>七 评审员演示步骤</w:t>
      </w:r>
    </w:p>
    <w:p>
      <w:pPr>
        <w:spacing w:after="0" w:line="240" w:lineRule="auto"/>
        <w:ind w:left="173"/>
      </w:pPr>
      <w:r>
        <w:rPr>
          <w:rFonts w:ascii="Microsoft YaHei" w:hAnsi="Microsoft YaHei" w:eastAsia="Microsoft YaHei"/>
          <w:color w:val="121A16"/>
          <w:sz w:val="17"/>
        </w:rPr>
        <w:t>八 业务时效演示步骤</w:t>
      </w:r>
    </w:p>
    <w:p>
      <w:pPr>
        <w:spacing w:after="0" w:line="240" w:lineRule="auto"/>
        <w:ind w:left="173"/>
      </w:pPr>
      <w:r>
        <w:rPr>
          <w:rFonts w:ascii="Microsoft YaHei" w:hAnsi="Microsoft YaHei" w:eastAsia="Microsoft YaHei"/>
          <w:color w:val="121A16"/>
          <w:sz w:val="17"/>
        </w:rPr>
        <w:t>九 配置管理员演示步骤</w:t>
      </w:r>
    </w:p>
    <w:p>
      <w:pPr>
        <w:spacing w:after="0" w:line="240" w:lineRule="auto"/>
        <w:ind w:left="173"/>
      </w:pPr>
      <w:r>
        <w:rPr>
          <w:rFonts w:ascii="Microsoft YaHei" w:hAnsi="Microsoft YaHei" w:eastAsia="Microsoft YaHei"/>
          <w:color w:val="121A16"/>
          <w:sz w:val="17"/>
        </w:rPr>
        <w:t>十 可追溯性专题演示</w:t>
      </w:r>
    </w:p>
    <w:p>
      <w:pPr>
        <w:spacing w:after="0" w:line="240" w:lineRule="auto"/>
        <w:ind w:left="173"/>
      </w:pPr>
      <w:r>
        <w:rPr>
          <w:rFonts w:ascii="Microsoft YaHei" w:hAnsi="Microsoft YaHei" w:eastAsia="Microsoft YaHei"/>
          <w:color w:val="121A16"/>
          <w:sz w:val="17"/>
        </w:rPr>
        <w:t>十一 异常场景与现场处理</w:t>
      </w:r>
    </w:p>
    <w:p>
      <w:pPr>
        <w:spacing w:after="0" w:line="240" w:lineRule="auto"/>
        <w:ind w:left="173"/>
      </w:pPr>
      <w:r>
        <w:rPr>
          <w:rFonts w:ascii="Microsoft YaHei" w:hAnsi="Microsoft YaHei" w:eastAsia="Microsoft YaHei"/>
          <w:color w:val="121A16"/>
          <w:sz w:val="17"/>
        </w:rPr>
        <w:t>十二 精简演示方案</w:t>
      </w:r>
    </w:p>
    <w:p>
      <w:pPr>
        <w:spacing w:after="0" w:line="240" w:lineRule="auto"/>
        <w:ind w:left="173"/>
      </w:pPr>
      <w:r>
        <w:rPr>
          <w:rFonts w:ascii="Microsoft YaHei" w:hAnsi="Microsoft YaHei" w:eastAsia="Microsoft YaHei"/>
          <w:color w:val="121A16"/>
          <w:sz w:val="17"/>
        </w:rPr>
        <w:t>十三 建议讲解话术</w:t>
      </w:r>
    </w:p>
    <w:p>
      <w:pPr>
        <w:spacing w:after="0" w:line="240" w:lineRule="auto"/>
        <w:ind w:left="173"/>
      </w:pPr>
      <w:r>
        <w:rPr>
          <w:rFonts w:ascii="Microsoft YaHei" w:hAnsi="Microsoft YaHei" w:eastAsia="Microsoft YaHei"/>
          <w:color w:val="121A16"/>
          <w:sz w:val="17"/>
        </w:rPr>
        <w:t>十四 常见提问与回答</w:t>
      </w:r>
    </w:p>
    <w:p>
      <w:pPr>
        <w:spacing w:after="0" w:line="240" w:lineRule="auto"/>
        <w:ind w:left="173"/>
      </w:pPr>
      <w:r>
        <w:rPr>
          <w:rFonts w:ascii="Microsoft YaHei" w:hAnsi="Microsoft YaHei" w:eastAsia="Microsoft YaHei"/>
          <w:color w:val="121A16"/>
          <w:sz w:val="17"/>
        </w:rPr>
        <w:t>十五 演示验收清单</w:t>
      </w:r>
    </w:p>
    <w:p>
      <w:pPr>
        <w:spacing w:after="0" w:line="240" w:lineRule="auto"/>
        <w:ind w:left="173"/>
      </w:pPr>
      <w:r>
        <w:rPr>
          <w:rFonts w:ascii="Microsoft YaHei" w:hAnsi="Microsoft YaHei" w:eastAsia="Microsoft YaHei"/>
          <w:color w:val="121A16"/>
          <w:sz w:val="17"/>
        </w:rPr>
        <w:t>十六 演示结束后的交付说明</w:t>
      </w:r>
    </w:p>
    <w:p>
      <w:r>
        <w:br w:type="page"/>
      </w:r>
    </w:p>
    <w:p>
      <w:pPr>
        <w:pStyle w:val="Heading1"/>
        <w:keepNext/>
        <w:keepLines/>
      </w:pPr>
      <w:r>
        <w:t>一 演示目的与结论</w:t>
      </w:r>
    </w:p>
    <w:p>
      <w:r>
        <w:rPr>
          <w:rFonts w:ascii="Microsoft YaHei" w:hAnsi="Microsoft YaHei" w:eastAsia="Microsoft YaHei"/>
          <w:color w:val="121A16"/>
          <w:sz w:val="22"/>
        </w:rPr>
        <w:t>本次演示要让观看人员完整理解一笔对公融资租赁项目如何从材料进入系统，经过客户经理 AI 预审、问题闭环、报告生成和正式提交，再进入评审池，由评审员领取、独立复核、退回或批准，最后形成评审报告和全流程时间记录。</w:t>
      </w:r>
    </w:p>
    <w:p>
      <w:r>
        <w:rPr>
          <w:rFonts w:ascii="Microsoft YaHei" w:hAnsi="Microsoft YaHei" w:eastAsia="Microsoft YaHei"/>
          <w:color w:val="121A16"/>
          <w:sz w:val="22"/>
        </w:rPr>
        <w:t>演示时始终强调三点。第一，AI 输出是可复核的业务建议，审批决定仍由评审员作出。第二，每一项判断都能回到数据字段、材料位置、数据卡、Skill、规则版本和运行快照。第三，普通业务人员只使用业务助手、项目工作台、项目评审池和业务时效四个主要入口，不需要理解底层模型、SQL 或 Agent 编排。</w:t>
      </w:r>
    </w:p>
    <w:p>
      <w:r>
        <w:rPr>
          <w:rFonts w:ascii="Microsoft YaHei" w:hAnsi="Microsoft YaHei" w:eastAsia="Microsoft YaHei"/>
          <w:color w:val="121A16"/>
          <w:sz w:val="22"/>
        </w:rPr>
        <w:t>演示数据、项目名称和百分比阈值均为虚构样例。演示覆盖率阈值 120% 只用于展示规则命中和版本追溯，不代表兴邦金租正式制度。</w:t>
      </w:r>
    </w:p>
    <w:p>
      <w:pPr>
        <w:pStyle w:val="Heading1"/>
        <w:keepNext/>
        <w:keepLines/>
      </w:pPr>
      <w:r>
        <w:t>二 演示角色与各自任务</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541"/>
        <w:gridCol w:w="2541"/>
        <w:gridCol w:w="2541"/>
        <w:gridCol w:w="2541"/>
      </w:tblGrid>
      <w:tr>
        <w:trPr>
          <w:tblHeader w:val="true"/>
          <w:cantSplit/>
        </w:trPr>
        <w:tc>
          <w:tcPr>
            <w:tcW w:type="dxa" w:w="546"/>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身份</w:t>
            </w:r>
          </w:p>
        </w:tc>
        <w:tc>
          <w:tcPr>
            <w:tcW w:type="dxa" w:w="3713"/>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主要任务</w:t>
            </w:r>
          </w:p>
        </w:tc>
        <w:tc>
          <w:tcPr>
            <w:tcW w:type="dxa" w:w="2730"/>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演示时要证明的能力</w:t>
            </w:r>
          </w:p>
        </w:tc>
        <w:tc>
          <w:tcPr>
            <w:tcW w:type="dxa" w:w="2730"/>
            <w:vAlign w:val="center"/>
            <w:tcMar>
              <w:top w:w="90" w:type="dxa"/>
              <w:start w:w="110" w:type="dxa"/>
              <w:bottom w:w="90" w:type="dxa"/>
              <w:end w:w="110" w:type="dxa"/>
            </w:tcMar>
            <w:shd w:fill="176B4A"/>
          </w:tcPr>
          <w:p>
            <w:pPr>
              <w:keepNext/>
              <w:spacing w:after="0" w:line="276" w:lineRule="auto"/>
              <w:jc w:val="left"/>
            </w:pPr>
            <w:r>
              <w:rPr>
                <w:b/>
                <w:color w:val="FFFFFF"/>
              </w:rPr>
            </w:r>
            <w:r>
              <w:rPr>
                <w:rFonts w:ascii="Microsoft YaHei" w:hAnsi="Microsoft YaHei" w:eastAsia="Microsoft YaHei"/>
                <w:b/>
                <w:color w:val="FFFFFF"/>
                <w:sz w:val="18"/>
              </w:rPr>
              <w:t>不应由该身份完成的事项</w:t>
            </w:r>
          </w:p>
        </w:tc>
      </w:tr>
      <w:tr>
        <w:trPr>
          <w:cantSplit/>
        </w:trPr>
        <w:tc>
          <w:tcPr>
            <w:tcW w:type="dxa" w:w="546"/>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客户经理</w:t>
            </w:r>
          </w:p>
        </w:tc>
        <w:tc>
          <w:tcPr>
            <w:tcW w:type="dxa" w:w="3713"/>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补充材料、确认来源、发起 AI 预审、处理问题、生成预审报告、提交评审</w:t>
            </w:r>
          </w:p>
        </w:tc>
        <w:tc>
          <w:tcPr>
            <w:tcW w:type="dxa" w:w="2730"/>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少录入、少跳转、提交前自查、问题能闭环</w:t>
            </w:r>
          </w:p>
        </w:tc>
        <w:tc>
          <w:tcPr>
            <w:tcW w:type="dxa" w:w="2730"/>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配置生产数据连接、修改已发布规则、代替评审员批准</w:t>
            </w:r>
          </w:p>
        </w:tc>
      </w:tr>
      <w:tr>
        <w:trPr>
          <w:cantSplit/>
        </w:trPr>
        <w:tc>
          <w:tcPr>
            <w:tcW w:type="dxa" w:w="546"/>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评审员</w:t>
            </w:r>
          </w:p>
        </w:tc>
        <w:tc>
          <w:tcPr>
            <w:tcW w:type="dxa" w:w="3713"/>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从评审池领取项目、独立复核六个必审领域、填写意见、退回或批准、生成评审报告</w:t>
            </w:r>
          </w:p>
        </w:tc>
        <w:tc>
          <w:tcPr>
            <w:tcW w:type="dxa" w:w="2730"/>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全链路独立判断、每个结论可追溯、等待和办理时间连续</w:t>
            </w:r>
          </w:p>
        </w:tc>
        <w:tc>
          <w:tcPr>
            <w:tcW w:type="dxa" w:w="2730"/>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沿用客户经理结论而不复核、让 AI 自动作审批决定</w:t>
            </w:r>
          </w:p>
        </w:tc>
      </w:tr>
      <w:tr>
        <w:trPr>
          <w:cantSplit/>
        </w:trPr>
        <w:tc>
          <w:tcPr>
            <w:tcW w:type="dxa" w:w="546"/>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配置管理员</w:t>
            </w:r>
          </w:p>
        </w:tc>
        <w:tc>
          <w:tcPr>
            <w:tcW w:type="dxa" w:w="3713"/>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管理模型、数据连接、数据卡、Skills、规则、方案和模板</w:t>
            </w:r>
          </w:p>
        </w:tc>
        <w:tc>
          <w:tcPr>
            <w:tcW w:type="dxa" w:w="2730"/>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数据合规由部门统一控制、组件可版本化发布和回滚</w:t>
            </w:r>
          </w:p>
        </w:tc>
        <w:tc>
          <w:tcPr>
            <w:tcW w:type="dxa" w:w="2730"/>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代替客户经理补材料、代替评审员形成业务结论</w:t>
            </w:r>
          </w:p>
        </w:tc>
      </w:tr>
    </w:tbl>
    <w:p>
      <w:pPr>
        <w:spacing w:after="40"/>
      </w:pPr>
    </w:p>
    <w:p>
      <w:r>
        <w:rPr>
          <w:rFonts w:ascii="Microsoft YaHei" w:hAnsi="Microsoft YaHei" w:eastAsia="Microsoft YaHei"/>
          <w:color w:val="121A16"/>
          <w:sz w:val="22"/>
        </w:rPr>
        <w:t>演示环境通过右上角身份选择器切换身份。该选择器仅用于本地或验收演示，不是生产鉴权。正式环境应由统一身份、令牌或单点登录在服务端确定角色和项目权限。</w:t>
      </w:r>
    </w:p>
    <w:p>
      <w:pPr>
        <w:pStyle w:val="Heading1"/>
        <w:keepNext/>
        <w:keepLines/>
      </w:pPr>
      <w:r>
        <w:t>三 演示项目与推荐故事线</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1755"/>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项目</w:t>
            </w:r>
          </w:p>
        </w:tc>
        <w:tc>
          <w:tcPr>
            <w:tcW w:type="dxa" w:w="4590"/>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当前特征</w:t>
            </w:r>
          </w:p>
        </w:tc>
        <w:tc>
          <w:tcPr>
            <w:tcW w:type="dxa" w:w="3375"/>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推荐用途</w:t>
            </w:r>
          </w:p>
        </w:tc>
      </w:tr>
      <w:tr>
        <w:trPr>
          <w:cantSplit/>
        </w:trPr>
        <w:tc>
          <w:tcPr>
            <w:tcW w:type="dxa" w:w="1755"/>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DEMO-A 兴华精密制造</w:t>
            </w:r>
          </w:p>
        </w:tc>
        <w:tc>
          <w:tcPr>
            <w:tcW w:type="dxa" w:w="4590"/>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材料相对完整，处于报告准备阶段</w:t>
            </w:r>
          </w:p>
        </w:tc>
        <w:tc>
          <w:tcPr>
            <w:tcW w:type="dxa" w:w="3375"/>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快速展示无明显问题时如何生成预审报告</w:t>
            </w:r>
          </w:p>
        </w:tc>
      </w:tr>
      <w:tr>
        <w:trPr>
          <w:cantSplit/>
        </w:trPr>
        <w:tc>
          <w:tcPr>
            <w:tcW w:type="dxa" w:w="1755"/>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DEMO-B 恒远设备</w:t>
            </w:r>
          </w:p>
        </w:tc>
        <w:tc>
          <w:tcPr>
            <w:tcW w:type="dxa" w:w="4590"/>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融资 5000 万元，租赁物价值 5400 万元，经营现金流缺失，财报与尽调负债不一致，设备清单有重复项</w:t>
            </w:r>
          </w:p>
        </w:tc>
        <w:tc>
          <w:tcPr>
            <w:tcW w:type="dxa" w:w="3375"/>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完整主线演示，最适合展示四类问题、补件、复跑和追溯</w:t>
            </w:r>
          </w:p>
        </w:tc>
      </w:tr>
      <w:tr>
        <w:trPr>
          <w:cantSplit/>
        </w:trPr>
        <w:tc>
          <w:tcPr>
            <w:tcW w:type="dxa" w:w="1755"/>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DEMO-C 新能服务</w:t>
            </w:r>
          </w:p>
        </w:tc>
        <w:tc>
          <w:tcPr>
            <w:tcW w:type="dxa" w:w="4590"/>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依赖特定回款但缺少回款依据，已进入独立评审场景</w:t>
            </w:r>
          </w:p>
        </w:tc>
        <w:tc>
          <w:tcPr>
            <w:tcW w:type="dxa" w:w="3375"/>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展示评审员专用 Skill、经验沉淀和退回流程</w:t>
            </w:r>
          </w:p>
        </w:tc>
      </w:tr>
    </w:tbl>
    <w:p>
      <w:pPr>
        <w:spacing w:after="40"/>
      </w:pPr>
    </w:p>
    <w:p>
      <w:r>
        <w:rPr>
          <w:rFonts w:ascii="Microsoft YaHei" w:hAnsi="Microsoft YaHei" w:eastAsia="Microsoft YaHei"/>
          <w:color w:val="121A16"/>
          <w:sz w:val="22"/>
        </w:rPr>
        <w:t>完整演示以 DEMO-B 为主线。它初始会触发四类问题：负债金额来源不一致、经营现金流资料缺失、设备清单重复、租赁物价值覆盖率低于演示阈值。覆盖率由 5400 除以 5000 得到 1.0800，因此会命中 1.2 的演示阈值。演示人员可以先保留这些问题展示 AI 预审和证据链，再通过补件减少问题，最后走正式提交和评审流程。</w:t>
      </w:r>
    </w:p>
    <w:p>
      <w:pPr>
        <w:pStyle w:val="Heading1"/>
        <w:keepNext/>
        <w:keepLines/>
      </w:pPr>
      <w:r>
        <w:t>四 演示前准备</w:t>
      </w:r>
    </w:p>
    <w:p>
      <w:pPr>
        <w:pStyle w:val="Heading2"/>
        <w:keepNext/>
        <w:keepLines/>
      </w:pPr>
      <w:r>
        <w:t>四一 环境检查</w:t>
      </w:r>
    </w:p>
    <w:p>
      <w:pPr>
        <w:ind w:left="403" w:hanging="403"/>
      </w:pPr>
      <w:r>
        <w:rPr>
          <w:rFonts w:ascii="Microsoft YaHei" w:hAnsi="Microsoft YaHei" w:eastAsia="Microsoft YaHei"/>
          <w:color w:val="121A16"/>
          <w:sz w:val="22"/>
        </w:rPr>
        <w:t>1. 使用部署方提供的系统地址进入首页。不要在讲解中固定某一个 IP 地址，避免客户环境变化后手册失效。</w:t>
      </w:r>
    </w:p>
    <w:p>
      <w:pPr>
        <w:ind w:left="403" w:hanging="403"/>
      </w:pPr>
      <w:r>
        <w:rPr>
          <w:rFonts w:ascii="Microsoft YaHei" w:hAnsi="Microsoft YaHei" w:eastAsia="Microsoft YaHei"/>
          <w:color w:val="121A16"/>
          <w:sz w:val="22"/>
        </w:rPr>
        <w:t>2. 确认顶部导航能看到业务助手、项目工作台、项目评审池和业务时效。配置管理员还会看到配置治理。</w:t>
      </w:r>
    </w:p>
    <w:p>
      <w:pPr>
        <w:ind w:left="403" w:hanging="403"/>
      </w:pPr>
      <w:r>
        <w:rPr>
          <w:rFonts w:ascii="Microsoft YaHei" w:hAnsi="Microsoft YaHei" w:eastAsia="Microsoft YaHei"/>
          <w:color w:val="121A16"/>
          <w:sz w:val="22"/>
        </w:rPr>
        <w:t>3. 确认右上角显示当前身份。完整演示至少需要能够切换客户经理和评审员；配置治理演示需要配置管理员身份。</w:t>
      </w:r>
    </w:p>
    <w:p>
      <w:pPr>
        <w:ind w:left="403" w:hanging="403"/>
      </w:pPr>
      <w:r>
        <w:rPr>
          <w:rFonts w:ascii="Microsoft YaHei" w:hAnsi="Microsoft YaHei" w:eastAsia="Microsoft YaHei"/>
          <w:color w:val="121A16"/>
          <w:sz w:val="22"/>
        </w:rPr>
        <w:t>4. 确认 DEMO-A、DEMO-B、DEMO-C 三个项目能正常读取。如果之前做过多次演示，先确认 DEMO-B 当前状态是否仍适合主线。历史运行保留是正常现象，不应为了演示删除审计记录。</w:t>
      </w:r>
    </w:p>
    <w:p>
      <w:pPr>
        <w:ind w:left="403" w:hanging="403"/>
      </w:pPr>
      <w:r>
        <w:rPr>
          <w:rFonts w:ascii="Microsoft YaHei" w:hAnsi="Microsoft YaHei" w:eastAsia="Microsoft YaHei"/>
          <w:color w:val="121A16"/>
          <w:sz w:val="22"/>
        </w:rPr>
        <w:t>5. 确认后端和前端健康。页面若提示连接失败，应先检查服务、模型配置和访问凭据，不要把技术失败解释为业务结论。</w:t>
      </w:r>
    </w:p>
    <w:p>
      <w:pPr>
        <w:ind w:left="403" w:hanging="403"/>
      </w:pPr>
      <w:r>
        <w:rPr>
          <w:rFonts w:ascii="Microsoft YaHei" w:hAnsi="Microsoft YaHei" w:eastAsia="Microsoft YaHei"/>
          <w:color w:val="121A16"/>
          <w:sz w:val="22"/>
        </w:rPr>
        <w:t>6. 准备一份不含真实客户信息的 TXT、CSV、DOCX、XLSX、PDF 或图片材料，用于展示上传和解析候选。单文件不得超过 10 MB。</w:t>
      </w:r>
    </w:p>
    <w:p>
      <w:pPr>
        <w:pStyle w:val="Heading2"/>
        <w:keepNext/>
        <w:keepLines/>
      </w:pPr>
      <w:r>
        <w:t>四二 演示数据复位原则</w:t>
      </w:r>
    </w:p>
    <w:p>
      <w:r>
        <w:rPr>
          <w:rFonts w:ascii="Microsoft YaHei" w:hAnsi="Microsoft YaHei" w:eastAsia="Microsoft YaHei"/>
          <w:color w:val="121A16"/>
          <w:sz w:val="22"/>
        </w:rPr>
        <w:t>系统保留运行、问题、报告和评审历史。重复演示时不要承诺页面一定与第一次完全相同。开始前应先打开 DEMO-B，记录当前数据版本、未处理问题数、最近运行状态和当前阶段。若项目已经评审通过，可以改用 DEMO-C 展示评审，或明确说明当前记录为上一次演示留下的可追溯历史。</w:t>
      </w:r>
    </w:p>
    <w:p>
      <w:pPr>
        <w:pStyle w:val="Heading2"/>
        <w:keepNext/>
        <w:keepLines/>
      </w:pPr>
      <w:r>
        <w:t>四三 演示窗口准备</w:t>
      </w:r>
    </w:p>
    <w:p>
      <w:pPr>
        <w:pStyle w:val="ListBullet"/>
      </w:pPr>
      <w:r>
        <w:rPr>
          <w:rFonts w:ascii="Microsoft YaHei" w:hAnsi="Microsoft YaHei" w:eastAsia="Microsoft YaHei"/>
          <w:color w:val="121A16"/>
          <w:sz w:val="22"/>
        </w:rPr>
        <w:t>浏览器缩放建议保持 100%。</w:t>
      </w:r>
    </w:p>
    <w:p>
      <w:pPr>
        <w:pStyle w:val="ListBullet"/>
      </w:pPr>
      <w:r>
        <w:rPr>
          <w:rFonts w:ascii="Microsoft YaHei" w:hAnsi="Microsoft YaHei" w:eastAsia="Microsoft YaHei"/>
          <w:color w:val="121A16"/>
          <w:sz w:val="22"/>
        </w:rPr>
        <w:t>关闭会遮挡页面的下载栏、开发者工具和无关标签页。</w:t>
      </w:r>
    </w:p>
    <w:p>
      <w:pPr>
        <w:pStyle w:val="ListBullet"/>
      </w:pPr>
      <w:r>
        <w:rPr>
          <w:rFonts w:ascii="Microsoft YaHei" w:hAnsi="Microsoft YaHei" w:eastAsia="Microsoft YaHei"/>
          <w:color w:val="121A16"/>
          <w:sz w:val="22"/>
        </w:rPr>
        <w:t>预先打开系统首页，但不要提前进入深层页面，让客户看到从统一入口开始办理的过程。</w:t>
      </w:r>
    </w:p>
    <w:p>
      <w:pPr>
        <w:pStyle w:val="ListBullet"/>
      </w:pPr>
      <w:r>
        <w:rPr>
          <w:rFonts w:ascii="Microsoft YaHei" w:hAnsi="Microsoft YaHei" w:eastAsia="Microsoft YaHei"/>
          <w:color w:val="121A16"/>
          <w:sz w:val="22"/>
        </w:rPr>
        <w:t>准备一个计时器。完整演示中，每个模块讲解不宜超过八分钟。</w:t>
      </w:r>
    </w:p>
    <w:p>
      <w:pPr>
        <w:pStyle w:val="Heading1"/>
        <w:keepNext/>
        <w:keepLines/>
      </w:pPr>
      <w:r>
        <w:t>五 完整演示路线</w:t>
      </w:r>
    </w:p>
    <w:p>
      <w:pPr>
        <w:keepNext/>
        <w:jc w:val="center"/>
      </w:pPr>
      <w:r>
        <w:drawing>
          <wp:inline xmlns:a="http://schemas.openxmlformats.org/drawingml/2006/main" xmlns:pic="http://schemas.openxmlformats.org/drawingml/2006/picture">
            <wp:extent cx="5989320" cy="2082002"/>
            <wp:docPr id="1" name="Picture 1" title="客户经理提交到评审员退回或批准的完整演示主线" descr="客户经理提交到评审员退回或批准的完整演示主线"/>
            <wp:cNvGraphicFramePr>
              <a:graphicFrameLocks noChangeAspect="1"/>
            </wp:cNvGraphicFramePr>
            <a:graphic>
              <a:graphicData uri="http://schemas.openxmlformats.org/drawingml/2006/picture">
                <pic:pic>
                  <pic:nvPicPr>
                    <pic:cNvPr id="0" name="demo-flow.png"/>
                    <pic:cNvPicPr/>
                  </pic:nvPicPr>
                  <pic:blipFill>
                    <a:blip r:embed="rId11"/>
                    <a:stretch>
                      <a:fillRect/>
                    </a:stretch>
                  </pic:blipFill>
                  <pic:spPr>
                    <a:xfrm>
                      <a:off x="0" y="0"/>
                      <a:ext cx="5989320" cy="2082002"/>
                    </a:xfrm>
                    <a:prstGeom prst="rect"/>
                  </pic:spPr>
                </pic:pic>
              </a:graphicData>
            </a:graphic>
          </wp:inline>
        </w:drawing>
      </w:r>
    </w:p>
    <w:p>
      <w:pPr>
        <w:spacing w:after="160"/>
        <w:jc w:val="center"/>
      </w:pPr>
      <w:r>
        <w:rPr>
          <w:rFonts w:ascii="Microsoft YaHei" w:hAnsi="Microsoft YaHei" w:eastAsia="Microsoft YaHei"/>
          <w:color w:val="121A16"/>
          <w:sz w:val="17"/>
        </w:rPr>
        <w:t>图  客户经理提交到评审员退回或批准的完整演示主线</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033"/>
        <w:gridCol w:w="2033"/>
        <w:gridCol w:w="2033"/>
        <w:gridCol w:w="2033"/>
        <w:gridCol w:w="2033"/>
      </w:tblGrid>
      <w:tr>
        <w:trPr>
          <w:tblHeader w:val="true"/>
          <w:cantSplit/>
        </w:trPr>
        <w:tc>
          <w:tcPr>
            <w:tcW w:type="dxa" w:w="1676"/>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阶段</w:t>
            </w:r>
          </w:p>
        </w:tc>
        <w:tc>
          <w:tcPr>
            <w:tcW w:type="dxa" w:w="838"/>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建议时长</w:t>
            </w:r>
          </w:p>
        </w:tc>
        <w:tc>
          <w:tcPr>
            <w:tcW w:type="dxa" w:w="1173"/>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身份</w:t>
            </w:r>
          </w:p>
        </w:tc>
        <w:tc>
          <w:tcPr>
            <w:tcW w:type="dxa" w:w="1843"/>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页面</w:t>
            </w:r>
          </w:p>
        </w:tc>
        <w:tc>
          <w:tcPr>
            <w:tcW w:type="dxa" w:w="4190"/>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演示结果</w:t>
            </w:r>
          </w:p>
        </w:tc>
      </w:tr>
      <w:tr>
        <w:trPr>
          <w:cantSplit/>
        </w:trPr>
        <w:tc>
          <w:tcPr>
            <w:tcW w:type="dxa" w:w="1676"/>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统一入口与项目选择</w:t>
            </w:r>
          </w:p>
        </w:tc>
        <w:tc>
          <w:tcPr>
            <w:tcW w:type="dxa" w:w="83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5 分钟</w:t>
            </w:r>
          </w:p>
        </w:tc>
        <w:tc>
          <w:tcPr>
            <w:tcW w:type="dxa" w:w="1173"/>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客户经理</w:t>
            </w:r>
          </w:p>
        </w:tc>
        <w:tc>
          <w:tcPr>
            <w:tcW w:type="dxa" w:w="1843"/>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业务助手</w:t>
            </w:r>
          </w:p>
        </w:tc>
        <w:tc>
          <w:tcPr>
            <w:tcW w:type="dxa" w:w="4190"/>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用一句话查询状态并进入 DEMO-B</w:t>
            </w:r>
          </w:p>
        </w:tc>
      </w:tr>
      <w:tr>
        <w:trPr>
          <w:cantSplit/>
        </w:trPr>
        <w:tc>
          <w:tcPr>
            <w:tcW w:type="dxa" w:w="1676"/>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材料与数据来源</w:t>
            </w:r>
          </w:p>
        </w:tc>
        <w:tc>
          <w:tcPr>
            <w:tcW w:type="dxa" w:w="838"/>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8 分钟</w:t>
            </w:r>
          </w:p>
        </w:tc>
        <w:tc>
          <w:tcPr>
            <w:tcW w:type="dxa" w:w="1173"/>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客户经理</w:t>
            </w:r>
          </w:p>
        </w:tc>
        <w:tc>
          <w:tcPr>
            <w:tcW w:type="dxa" w:w="1843"/>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项目工作台</w:t>
            </w:r>
          </w:p>
        </w:tc>
        <w:tc>
          <w:tcPr>
            <w:tcW w:type="dxa" w:w="4190"/>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看到材料解析、字段来源和待确认候选</w:t>
            </w:r>
          </w:p>
        </w:tc>
      </w:tr>
      <w:tr>
        <w:trPr>
          <w:cantSplit/>
        </w:trPr>
        <w:tc>
          <w:tcPr>
            <w:tcW w:type="dxa" w:w="1676"/>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AI 预审与问题追溯</w:t>
            </w:r>
          </w:p>
        </w:tc>
        <w:tc>
          <w:tcPr>
            <w:tcW w:type="dxa" w:w="83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10 分钟</w:t>
            </w:r>
          </w:p>
        </w:tc>
        <w:tc>
          <w:tcPr>
            <w:tcW w:type="dxa" w:w="1173"/>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客户经理</w:t>
            </w:r>
          </w:p>
        </w:tc>
        <w:tc>
          <w:tcPr>
            <w:tcW w:type="dxa" w:w="1843"/>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项目工作台</w:t>
            </w:r>
          </w:p>
        </w:tc>
        <w:tc>
          <w:tcPr>
            <w:tcW w:type="dxa" w:w="4190"/>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形成四类问题并逐项查看证据和解决建议</w:t>
            </w:r>
          </w:p>
        </w:tc>
      </w:tr>
      <w:tr>
        <w:trPr>
          <w:cantSplit/>
        </w:trPr>
        <w:tc>
          <w:tcPr>
            <w:tcW w:type="dxa" w:w="1676"/>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补件与再次预审</w:t>
            </w:r>
          </w:p>
        </w:tc>
        <w:tc>
          <w:tcPr>
            <w:tcW w:type="dxa" w:w="838"/>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7 分钟</w:t>
            </w:r>
          </w:p>
        </w:tc>
        <w:tc>
          <w:tcPr>
            <w:tcW w:type="dxa" w:w="1173"/>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客户经理</w:t>
            </w:r>
          </w:p>
        </w:tc>
        <w:tc>
          <w:tcPr>
            <w:tcW w:type="dxa" w:w="1843"/>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项目工作台</w:t>
            </w:r>
          </w:p>
        </w:tc>
        <w:tc>
          <w:tcPr>
            <w:tcW w:type="dxa" w:w="4190"/>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修改业务事实后生成新的数据版本和运行记录</w:t>
            </w:r>
          </w:p>
        </w:tc>
      </w:tr>
      <w:tr>
        <w:trPr>
          <w:cantSplit/>
        </w:trPr>
        <w:tc>
          <w:tcPr>
            <w:tcW w:type="dxa" w:w="1676"/>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报告与送审</w:t>
            </w:r>
          </w:p>
        </w:tc>
        <w:tc>
          <w:tcPr>
            <w:tcW w:type="dxa" w:w="83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6 分钟</w:t>
            </w:r>
          </w:p>
        </w:tc>
        <w:tc>
          <w:tcPr>
            <w:tcW w:type="dxa" w:w="1173"/>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客户经理</w:t>
            </w:r>
          </w:p>
        </w:tc>
        <w:tc>
          <w:tcPr>
            <w:tcW w:type="dxa" w:w="1843"/>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报告与项目评审池</w:t>
            </w:r>
          </w:p>
        </w:tc>
        <w:tc>
          <w:tcPr>
            <w:tcW w:type="dxa" w:w="4190"/>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生成 AI 预审报告并提交，看到提交时间与等待时间</w:t>
            </w:r>
          </w:p>
        </w:tc>
      </w:tr>
      <w:tr>
        <w:trPr>
          <w:cantSplit/>
        </w:trPr>
        <w:tc>
          <w:tcPr>
            <w:tcW w:type="dxa" w:w="1676"/>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独立评审</w:t>
            </w:r>
          </w:p>
        </w:tc>
        <w:tc>
          <w:tcPr>
            <w:tcW w:type="dxa" w:w="838"/>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12 分钟</w:t>
            </w:r>
          </w:p>
        </w:tc>
        <w:tc>
          <w:tcPr>
            <w:tcW w:type="dxa" w:w="1173"/>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评审员</w:t>
            </w:r>
          </w:p>
        </w:tc>
        <w:tc>
          <w:tcPr>
            <w:tcW w:type="dxa" w:w="1843"/>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项目评审池与全链路评审</w:t>
            </w:r>
          </w:p>
        </w:tc>
        <w:tc>
          <w:tcPr>
            <w:tcW w:type="dxa" w:w="4190"/>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领取项目，逐节点确认，退回或批准</w:t>
            </w:r>
          </w:p>
        </w:tc>
      </w:tr>
      <w:tr>
        <w:trPr>
          <w:cantSplit/>
        </w:trPr>
        <w:tc>
          <w:tcPr>
            <w:tcW w:type="dxa" w:w="1676"/>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时效和配置治理</w:t>
            </w:r>
          </w:p>
        </w:tc>
        <w:tc>
          <w:tcPr>
            <w:tcW w:type="dxa" w:w="838"/>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8 分钟</w:t>
            </w:r>
          </w:p>
        </w:tc>
        <w:tc>
          <w:tcPr>
            <w:tcW w:type="dxa" w:w="1173"/>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评审员或管理员</w:t>
            </w:r>
          </w:p>
        </w:tc>
        <w:tc>
          <w:tcPr>
            <w:tcW w:type="dxa" w:w="1843"/>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业务时效与配置治理</w:t>
            </w:r>
          </w:p>
        </w:tc>
        <w:tc>
          <w:tcPr>
            <w:tcW w:type="dxa" w:w="4190"/>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解释时间分布和组件版本治理</w:t>
            </w:r>
          </w:p>
        </w:tc>
      </w:tr>
    </w:tbl>
    <w:p>
      <w:pPr>
        <w:spacing w:after="40"/>
      </w:pPr>
    </w:p>
    <w:p>
      <w:pPr>
        <w:pStyle w:val="Heading1"/>
        <w:keepNext/>
        <w:keepLines/>
      </w:pPr>
      <w:r>
        <w:t>六 客户经理演示步骤</w:t>
      </w:r>
    </w:p>
    <w:p>
      <w:pPr>
        <w:pStyle w:val="Heading2"/>
        <w:keepNext/>
        <w:keepLines/>
      </w:pPr>
      <w:r>
        <w:t>六一 从业务助手开始</w:t>
      </w:r>
    </w:p>
    <w:p>
      <w:r>
        <w:rPr>
          <w:rFonts w:ascii="Microsoft YaHei" w:hAnsi="Microsoft YaHei" w:eastAsia="Microsoft YaHei"/>
          <w:color w:val="121A16"/>
          <w:sz w:val="22"/>
        </w:rPr>
        <w:t>操作：保持客户经理身份，进入业务助手。在正在处理的项目下拉框选择 DEMO-B 恒远设备。</w:t>
      </w:r>
    </w:p>
    <w:p>
      <w:r>
        <w:rPr>
          <w:rFonts w:ascii="Microsoft YaHei" w:hAnsi="Microsoft YaHei" w:eastAsia="Microsoft YaHei"/>
          <w:color w:val="121A16"/>
          <w:sz w:val="22"/>
        </w:rPr>
        <w:t>讲解：业务助手是业务人员的统一入口。它和项目页面按钮使用同一套权限、Skills、规则和留痕。普通业务人员不需要选择底层 mini-openclaw 页面，也不需要知道模型地址或 SQL。</w:t>
      </w:r>
    </w:p>
    <w:p>
      <w:r>
        <w:rPr>
          <w:rFonts w:ascii="Microsoft YaHei" w:hAnsi="Microsoft YaHei" w:eastAsia="Microsoft YaHei"/>
          <w:color w:val="121A16"/>
          <w:sz w:val="22"/>
        </w:rPr>
        <w:t>先点击查看项目状态，或输入以下任一指令：</w:t>
      </w:r>
    </w:p>
    <w:p>
      <w:pPr>
        <w:pStyle w:val="CodeBlock"/>
      </w:pPr>
      <w:r>
        <w:rPr>
          <w:rFonts w:ascii="Consolas" w:hAnsi="Consolas" w:eastAsia="Consolas"/>
          <w:color w:val="121A16"/>
          <w:sz w:val="18"/>
        </w:rPr>
        <w:t>这个项目到哪一步了</w:t>
        <w:br/>
        <w:t>我接下来要做什么</w:t>
        <w:br/>
        <w:t>现在有哪些问题</w:t>
        <w:br/>
        <w:t>还缺什么材料</w:t>
      </w:r>
    </w:p>
    <w:p>
      <w:r>
        <w:rPr>
          <w:rFonts w:ascii="Microsoft YaHei" w:hAnsi="Microsoft YaHei" w:eastAsia="Microsoft YaHei"/>
          <w:color w:val="121A16"/>
          <w:sz w:val="22"/>
        </w:rPr>
        <w:t>预期结果：助手返回 DEMO-B 当前阶段、待处理问题数、材料候选情况或下一步，并提供查看项目中的结果链接。用户消息靠右显示并带本人图标，助手消息靠左显示并带机器人图标。执行型操作会显示操作凭证编号。</w:t>
      </w:r>
    </w:p>
    <w:p>
      <w:r>
        <w:rPr>
          <w:rFonts w:ascii="Microsoft YaHei" w:hAnsi="Microsoft YaHei" w:eastAsia="Microsoft YaHei"/>
          <w:color w:val="121A16"/>
          <w:sz w:val="22"/>
        </w:rPr>
        <w:t>演示重点：回答不是简单复述用户问题。它读取当前项目对象后返回确定的状态或下一步。若输入过于宽泛，助手会要求用户选择进度、下一步、问题或材料，而不会伪造分析结果。</w:t>
      </w:r>
    </w:p>
    <w:p>
      <w:pPr>
        <w:pStyle w:val="Heading2"/>
        <w:keepNext/>
        <w:keepLines/>
      </w:pPr>
      <w:r>
        <w:t>六二 进入项目工作台</w:t>
      </w:r>
    </w:p>
    <w:p>
      <w:r>
        <w:rPr>
          <w:rFonts w:ascii="Microsoft YaHei" w:hAnsi="Microsoft YaHei" w:eastAsia="Microsoft YaHei"/>
          <w:color w:val="121A16"/>
          <w:sz w:val="22"/>
        </w:rPr>
        <w:t>操作：点击进入项目，或点击助手回答下方的查看项目中的结果。</w:t>
      </w:r>
    </w:p>
    <w:p>
      <w:r>
        <w:rPr>
          <w:rFonts w:ascii="Microsoft YaHei" w:hAnsi="Microsoft YaHei" w:eastAsia="Microsoft YaHei"/>
          <w:color w:val="121A16"/>
          <w:sz w:val="22"/>
        </w:rPr>
        <w:t>先指给客户看四个位置：当前身份、项目编号与客户名称、当前阶段、建议下一步。然后查看三张概览卡：当前数据版本、未处理问题、最近运行。</w:t>
      </w:r>
    </w:p>
    <w:p>
      <w:r>
        <w:rPr>
          <w:rFonts w:ascii="Microsoft YaHei" w:hAnsi="Microsoft YaHei" w:eastAsia="Microsoft YaHei"/>
          <w:color w:val="121A16"/>
          <w:sz w:val="22"/>
        </w:rPr>
        <w:t>预期结果：点击未处理问题卡可以直接跳转到材料与问题，不需要用户在页面中寻找。项目当前没有运行时，建议下一步会提示发起 AI 预审；存在问题时会提示处理具体问题；报告完成后会提示提交正式评审。</w:t>
      </w:r>
    </w:p>
    <w:p>
      <w:pPr>
        <w:pStyle w:val="Heading2"/>
        <w:keepNext/>
        <w:keepLines/>
      </w:pPr>
      <w:r>
        <w:t>六三 展示材料档案与解析</w:t>
      </w:r>
    </w:p>
    <w:p>
      <w:r>
        <w:rPr>
          <w:rFonts w:ascii="Microsoft YaHei" w:hAnsi="Microsoft YaHei" w:eastAsia="Microsoft YaHei"/>
          <w:color w:val="121A16"/>
          <w:sz w:val="22"/>
        </w:rPr>
        <w:t>操作：切换到材料与问题，查看材料档案。点击已有材料旁的查看解析。</w:t>
      </w:r>
    </w:p>
    <w:p>
      <w:r>
        <w:rPr>
          <w:rFonts w:ascii="Microsoft YaHei" w:hAnsi="Microsoft YaHei" w:eastAsia="Microsoft YaHei"/>
          <w:color w:val="121A16"/>
          <w:sz w:val="22"/>
        </w:rPr>
        <w:t>讲解：查看解析展示系统从材料中识别出的候选字段、值、页码或表格位置和解析警告。它不是最终业务事实。候选值只有经过人工确认，才会进入新的项目数据版本。下载原件用于与解析结果对照。</w:t>
      </w:r>
    </w:p>
    <w:p>
      <w:r>
        <w:rPr>
          <w:rFonts w:ascii="Microsoft YaHei" w:hAnsi="Microsoft YaHei" w:eastAsia="Microsoft YaHei"/>
          <w:color w:val="121A16"/>
          <w:sz w:val="22"/>
        </w:rPr>
        <w:t>如需现场上传，点击上传项目材料并选择准备好的演示文件。上传完成后，页面提示材料已经归档并生成若干候选字段。</w:t>
      </w:r>
    </w:p>
    <w:p>
      <w:r>
        <w:rPr>
          <w:rFonts w:ascii="Microsoft YaHei" w:hAnsi="Microsoft YaHei" w:eastAsia="Microsoft YaHei"/>
          <w:color w:val="121A16"/>
          <w:sz w:val="22"/>
        </w:rPr>
        <w:t>预期结果：材料列表出现新版本；查看解析能看到候选值。项目事实不会因上传动作自动被覆盖。</w:t>
      </w:r>
    </w:p>
    <w:p>
      <w:r>
        <w:rPr>
          <w:rFonts w:ascii="Microsoft YaHei" w:hAnsi="Microsoft YaHei" w:eastAsia="Microsoft YaHei"/>
          <w:color w:val="121A16"/>
          <w:sz w:val="22"/>
        </w:rPr>
        <w:t>讲解边界：扫描件或图片无法可靠识别时，页面会给出警告并要求补充。XLSX 公式读取已有缓存值，服务端不会重新计算公式。任何材料内容都视为不可信数据，材料中的指令文字不会成为系统命令。</w:t>
      </w:r>
    </w:p>
    <w:p>
      <w:pPr>
        <w:pStyle w:val="Heading2"/>
        <w:keepNext/>
        <w:keepLines/>
      </w:pPr>
      <w:r>
        <w:t>六四 发起第一次 AI 预审</w:t>
      </w:r>
    </w:p>
    <w:p>
      <w:r>
        <w:rPr>
          <w:rFonts w:ascii="Microsoft YaHei" w:hAnsi="Microsoft YaHei" w:eastAsia="Microsoft YaHei"/>
          <w:color w:val="121A16"/>
          <w:sz w:val="22"/>
        </w:rPr>
        <w:t>操作：回到项目概览。在本次 AI 预审要求中输入：</w:t>
      </w:r>
    </w:p>
    <w:p>
      <w:pPr>
        <w:pStyle w:val="CodeBlock"/>
      </w:pPr>
      <w:r>
        <w:rPr>
          <w:rFonts w:ascii="Consolas" w:hAnsi="Consolas" w:eastAsia="Consolas"/>
          <w:color w:val="121A16"/>
          <w:sz w:val="18"/>
        </w:rPr>
        <w:t>重点核对现金流、财报与尽调负债口径、设备清单重复情况和租赁物价值覆盖率，并说明需要补充的材料。</w:t>
      </w:r>
    </w:p>
    <w:p>
      <w:r>
        <w:rPr>
          <w:rFonts w:ascii="Microsoft YaHei" w:hAnsi="Microsoft YaHei" w:eastAsia="Microsoft YaHei"/>
          <w:color w:val="121A16"/>
          <w:sz w:val="22"/>
        </w:rPr>
        <w:t>确认业务检查方案选择客户经理 AI 预审，点击开始 AI 预审。</w:t>
      </w:r>
    </w:p>
    <w:p>
      <w:r>
        <w:rPr>
          <w:rFonts w:ascii="Microsoft YaHei" w:hAnsi="Microsoft YaHei" w:eastAsia="Microsoft YaHei"/>
          <w:color w:val="121A16"/>
          <w:sz w:val="22"/>
        </w:rPr>
        <w:t>预期结果：系统提示任务已经进入队列。页面每隔约一点五秒刷新，运行状态从已排队变为检查中，最终为已完成、部分完成或未完成。离开页面不会丢失任务。</w:t>
      </w:r>
    </w:p>
    <w:p>
      <w:r>
        <w:rPr>
          <w:rFonts w:ascii="Microsoft YaHei" w:hAnsi="Microsoft YaHei" w:eastAsia="Microsoft YaHei"/>
          <w:color w:val="121A16"/>
          <w:sz w:val="22"/>
        </w:rPr>
        <w:t>讲解：点击后不是浏览器一直等待模型。后端先冻结项目数据、材料、数据卡、Skills、规则、模板和版本哈希，再创建可恢复的后台任务。即使页面关闭，任务仍能继续；进程异常后，租约过期任务可以重新领取。</w:t>
      </w:r>
    </w:p>
    <w:p>
      <w:pPr>
        <w:pStyle w:val="Heading2"/>
        <w:keepNext/>
        <w:keepLines/>
      </w:pPr>
      <w:r>
        <w:t>六五 解读第一次检查结果</w:t>
      </w:r>
    </w:p>
    <w:p>
      <w:r>
        <w:rPr>
          <w:rFonts w:ascii="Microsoft YaHei" w:hAnsi="Microsoft YaHei" w:eastAsia="Microsoft YaHei"/>
          <w:color w:val="121A16"/>
          <w:sz w:val="22"/>
        </w:rPr>
        <w:t>预期看到的四类业务结果如下。</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541"/>
        <w:gridCol w:w="2541"/>
        <w:gridCol w:w="2541"/>
        <w:gridCol w:w="2541"/>
      </w:tblGrid>
      <w:tr>
        <w:trPr>
          <w:tblHeader w:val="true"/>
          <w:cantSplit/>
        </w:trPr>
        <w:tc>
          <w:tcPr>
            <w:tcW w:type="dxa" w:w="1411"/>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检查项</w:t>
            </w:r>
          </w:p>
        </w:tc>
        <w:tc>
          <w:tcPr>
            <w:tcW w:type="dxa" w:w="3606"/>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演示数据</w:t>
            </w:r>
          </w:p>
        </w:tc>
        <w:tc>
          <w:tcPr>
            <w:tcW w:type="dxa" w:w="1254"/>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预期判断</w:t>
            </w:r>
          </w:p>
        </w:tc>
        <w:tc>
          <w:tcPr>
            <w:tcW w:type="dxa" w:w="3449"/>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业务含义</w:t>
            </w:r>
          </w:p>
        </w:tc>
      </w:tr>
      <w:tr>
        <w:trPr>
          <w:cantSplit/>
        </w:trPr>
        <w:tc>
          <w:tcPr>
            <w:tcW w:type="dxa" w:w="1411"/>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负债金额来源一致性</w:t>
            </w:r>
          </w:p>
        </w:tc>
        <w:tc>
          <w:tcPr>
            <w:tcW w:type="dxa" w:w="3606"/>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财报 13200 万元，尽调 12800 万元</w:t>
            </w:r>
          </w:p>
        </w:tc>
        <w:tc>
          <w:tcPr>
            <w:tcW w:type="dxa" w:w="1254"/>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发现问题或待复核</w:t>
            </w:r>
          </w:p>
        </w:tc>
        <w:tc>
          <w:tcPr>
            <w:tcW w:type="dxa" w:w="3449"/>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两个来源口径不一致，需要确认期间、范围和依据</w:t>
            </w:r>
          </w:p>
        </w:tc>
      </w:tr>
      <w:tr>
        <w:trPr>
          <w:cantSplit/>
        </w:trPr>
        <w:tc>
          <w:tcPr>
            <w:tcW w:type="dxa" w:w="1411"/>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经营现金流完整性</w:t>
            </w:r>
          </w:p>
        </w:tc>
        <w:tc>
          <w:tcPr>
            <w:tcW w:type="dxa" w:w="3606"/>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当前为空</w:t>
            </w:r>
          </w:p>
        </w:tc>
        <w:tc>
          <w:tcPr>
            <w:tcW w:type="dxa" w:w="1254"/>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材料不足</w:t>
            </w:r>
          </w:p>
        </w:tc>
        <w:tc>
          <w:tcPr>
            <w:tcW w:type="dxa" w:w="3449"/>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不能在缺少材料时推断为正常</w:t>
            </w:r>
          </w:p>
        </w:tc>
      </w:tr>
      <w:tr>
        <w:trPr>
          <w:cantSplit/>
        </w:trPr>
        <w:tc>
          <w:tcPr>
            <w:tcW w:type="dxa" w:w="1411"/>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设备清单重复项</w:t>
            </w:r>
          </w:p>
        </w:tc>
        <w:tc>
          <w:tcPr>
            <w:tcW w:type="dxa" w:w="3606"/>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重复数量 1</w:t>
            </w:r>
          </w:p>
        </w:tc>
        <w:tc>
          <w:tcPr>
            <w:tcW w:type="dxa" w:w="1254"/>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发现问题</w:t>
            </w:r>
          </w:p>
        </w:tc>
        <w:tc>
          <w:tcPr>
            <w:tcW w:type="dxa" w:w="3449"/>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应按设备唯一编号核对和去重</w:t>
            </w:r>
          </w:p>
        </w:tc>
      </w:tr>
      <w:tr>
        <w:trPr>
          <w:cantSplit/>
        </w:trPr>
        <w:tc>
          <w:tcPr>
            <w:tcW w:type="dxa" w:w="1411"/>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租赁物价值覆盖率</w:t>
            </w:r>
          </w:p>
        </w:tc>
        <w:tc>
          <w:tcPr>
            <w:tcW w:type="dxa" w:w="3606"/>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5400 除以 5000 等于 1.0800</w:t>
            </w:r>
          </w:p>
        </w:tc>
        <w:tc>
          <w:tcPr>
            <w:tcW w:type="dxa" w:w="1254"/>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低于演示阈值</w:t>
            </w:r>
          </w:p>
        </w:tc>
        <w:tc>
          <w:tcPr>
            <w:tcW w:type="dxa" w:w="3449"/>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触发 1.2 的演示规则，仅用于展示</w:t>
            </w:r>
          </w:p>
        </w:tc>
      </w:tr>
    </w:tbl>
    <w:p>
      <w:pPr>
        <w:spacing w:after="40"/>
      </w:pPr>
    </w:p>
    <w:p>
      <w:r>
        <w:rPr>
          <w:rFonts w:ascii="Microsoft YaHei" w:hAnsi="Microsoft YaHei" w:eastAsia="Microsoft YaHei"/>
          <w:color w:val="121A16"/>
          <w:sz w:val="22"/>
        </w:rPr>
        <w:t>操作：依次展开每个业务步骤。先读页面上的业务判断，再查看问题说明、建议动作和证据来源。最后展开技术追溯信息，指出输入快照编号、组件版本和本次运行编号。</w:t>
      </w:r>
    </w:p>
    <w:p>
      <w:r>
        <w:rPr>
          <w:rFonts w:ascii="Microsoft YaHei" w:hAnsi="Microsoft YaHei" w:eastAsia="Microsoft YaHei"/>
          <w:color w:val="121A16"/>
          <w:sz w:val="22"/>
        </w:rPr>
        <w:t>讲解：确定性检查先执行，模型核查后执行。若内网模型未配置，模型步骤会明确显示未执行或失败，前面的确定性结果仍然保留。部分完成不等于全部通过。</w:t>
      </w:r>
    </w:p>
    <w:p>
      <w:pPr>
        <w:pStyle w:val="Heading2"/>
        <w:keepNext/>
        <w:keepLines/>
      </w:pPr>
      <w:r>
        <w:t>六六 逐项查看问题和解决方式</w:t>
      </w:r>
    </w:p>
    <w:p>
      <w:r>
        <w:rPr>
          <w:rFonts w:ascii="Microsoft YaHei" w:hAnsi="Microsoft YaHei" w:eastAsia="Microsoft YaHei"/>
          <w:color w:val="121A16"/>
          <w:sz w:val="22"/>
        </w:rPr>
        <w:t>操作：点击未处理问题卡，或进入材料与问题。选中一个问题，展示三层信息。</w:t>
      </w:r>
    </w:p>
    <w:p>
      <w:pPr>
        <w:ind w:left="403" w:hanging="403"/>
      </w:pPr>
      <w:r>
        <w:rPr>
          <w:rFonts w:ascii="Microsoft YaHei" w:hAnsi="Microsoft YaHei" w:eastAsia="Microsoft YaHei"/>
          <w:color w:val="121A16"/>
          <w:sz w:val="22"/>
        </w:rPr>
        <w:t>1. 数据来源：字段名称、当前值、材料名称、数据卡或材料定位。</w:t>
      </w:r>
    </w:p>
    <w:p>
      <w:pPr>
        <w:ind w:left="403" w:hanging="403"/>
      </w:pPr>
      <w:r>
        <w:rPr>
          <w:rFonts w:ascii="Microsoft YaHei" w:hAnsi="Microsoft YaHei" w:eastAsia="Microsoft YaHei"/>
          <w:color w:val="121A16"/>
          <w:sz w:val="22"/>
        </w:rPr>
        <w:t>2. AI 辅助判断：通过、发现问题、材料不足、不适用或执行失败。</w:t>
      </w:r>
    </w:p>
    <w:p>
      <w:pPr>
        <w:ind w:left="403" w:hanging="403"/>
      </w:pPr>
      <w:r>
        <w:rPr>
          <w:rFonts w:ascii="Microsoft YaHei" w:hAnsi="Microsoft YaHei" w:eastAsia="Microsoft YaHei"/>
          <w:color w:val="121A16"/>
          <w:sz w:val="22"/>
        </w:rPr>
        <w:t>3. 怎么解决：系统给出的补件、核对口径、去重或人工复核建议。</w:t>
      </w:r>
    </w:p>
    <w:p>
      <w:r>
        <w:rPr>
          <w:rFonts w:ascii="Microsoft YaHei" w:hAnsi="Microsoft YaHei" w:eastAsia="Microsoft YaHei"/>
          <w:color w:val="121A16"/>
          <w:sz w:val="22"/>
        </w:rPr>
        <w:t>操作：展开查看规则与技术追溯，指出 Skill 或规则的稳定编号和版本。强调页面先给业务人员看结论和动作，技术编号放在最后。</w:t>
      </w:r>
    </w:p>
    <w:p>
      <w:pPr>
        <w:pStyle w:val="Heading2"/>
        <w:keepNext/>
        <w:keepLines/>
      </w:pPr>
      <w:r>
        <w:t>六七 补件并形成新数据版本</w:t>
      </w:r>
    </w:p>
    <w:p>
      <w:r>
        <w:rPr>
          <w:rFonts w:ascii="Microsoft YaHei" w:hAnsi="Microsoft YaHei" w:eastAsia="Microsoft YaHei"/>
          <w:color w:val="121A16"/>
          <w:sz w:val="22"/>
        </w:rPr>
        <w:t>操作：在人工补充字段中依次选择需要处理的字段。演示时至少完成以下两项：</w:t>
      </w:r>
    </w:p>
    <w:p>
      <w:pPr>
        <w:pStyle w:val="ListBullet"/>
      </w:pPr>
      <w:r>
        <w:rPr>
          <w:rFonts w:ascii="Microsoft YaHei" w:hAnsi="Microsoft YaHei" w:eastAsia="Microsoft YaHei"/>
          <w:color w:val="121A16"/>
          <w:sz w:val="22"/>
        </w:rPr>
        <w:t>经营现金流填写 900，处理说明填写已核对 2025 年合并口径现金流材料。</w:t>
      </w:r>
    </w:p>
    <w:p>
      <w:pPr>
        <w:pStyle w:val="ListBullet"/>
      </w:pPr>
      <w:r>
        <w:rPr>
          <w:rFonts w:ascii="Microsoft YaHei" w:hAnsi="Microsoft YaHei" w:eastAsia="Microsoft YaHei"/>
          <w:color w:val="121A16"/>
          <w:sz w:val="22"/>
        </w:rPr>
        <w:t>尽调负债填写 13200，处理说明填写已与财报同期间同口径复核。</w:t>
      </w:r>
    </w:p>
    <w:p>
      <w:r>
        <w:rPr>
          <w:rFonts w:ascii="Microsoft YaHei" w:hAnsi="Microsoft YaHei" w:eastAsia="Microsoft YaHei"/>
          <w:color w:val="121A16"/>
          <w:sz w:val="22"/>
        </w:rPr>
        <w:t>如需完整闭环，再将重复设备数量填写 0，并说明已经按设备唯一编号去重。</w:t>
      </w:r>
    </w:p>
    <w:p>
      <w:r>
        <w:rPr>
          <w:rFonts w:ascii="Microsoft YaHei" w:hAnsi="Microsoft YaHei" w:eastAsia="Microsoft YaHei"/>
          <w:color w:val="121A16"/>
          <w:sz w:val="22"/>
        </w:rPr>
        <w:t>点击保存补件。每保存一次，项目数据版本会增加，原来源和变更说明保留。</w:t>
      </w:r>
    </w:p>
    <w:p>
      <w:r>
        <w:rPr>
          <w:rFonts w:ascii="Microsoft YaHei" w:hAnsi="Microsoft YaHei" w:eastAsia="Microsoft YaHei"/>
          <w:color w:val="121A16"/>
          <w:sz w:val="22"/>
        </w:rPr>
        <w:t>重要说明：融资金额和租赁物价值属于核心方案字段，当前补件表单不允许随意覆盖。演示时不要承诺业务人员可以直接在此修改所有核心字段。</w:t>
      </w:r>
    </w:p>
    <w:p>
      <w:pPr>
        <w:pStyle w:val="Heading2"/>
        <w:keepNext/>
        <w:keepLines/>
      </w:pPr>
      <w:r>
        <w:t>六八 再次 AI 预审并比较变化</w:t>
      </w:r>
    </w:p>
    <w:p>
      <w:r>
        <w:rPr>
          <w:rFonts w:ascii="Microsoft YaHei" w:hAnsi="Microsoft YaHei" w:eastAsia="Microsoft YaHei"/>
          <w:color w:val="121A16"/>
          <w:sz w:val="22"/>
        </w:rPr>
        <w:t>操作：回到项目概览，重新点击开始 AI 预审。</w:t>
      </w:r>
    </w:p>
    <w:p>
      <w:r>
        <w:rPr>
          <w:rFonts w:ascii="Microsoft YaHei" w:hAnsi="Microsoft YaHei" w:eastAsia="Microsoft YaHei"/>
          <w:color w:val="121A16"/>
          <w:sz w:val="22"/>
        </w:rPr>
        <w:t>预期结果：系统生成新的运行编号和输入快照。已经补齐的现金流、负债口径和重复设备问题会减少或进入待复核。覆盖率问题仍可能保留，因为 5400 除以 5000 仍低于演示阈值。</w:t>
      </w:r>
    </w:p>
    <w:p>
      <w:r>
        <w:rPr>
          <w:rFonts w:ascii="Microsoft YaHei" w:hAnsi="Microsoft YaHei" w:eastAsia="Microsoft YaHei"/>
          <w:color w:val="121A16"/>
          <w:sz w:val="22"/>
        </w:rPr>
        <w:t>演示重点：选择历史运行可以对照补件前后的结果。旧运行不会被新结果覆盖；它仍然绑定旧数据版本、旧快照和旧组件版本。</w:t>
      </w:r>
    </w:p>
    <w:p>
      <w:pPr>
        <w:pStyle w:val="Heading2"/>
        <w:keepNext/>
        <w:keepLines/>
      </w:pPr>
      <w:r>
        <w:t>六九 生成 AI 预审报告</w:t>
      </w:r>
    </w:p>
    <w:p>
      <w:r>
        <w:rPr>
          <w:rFonts w:ascii="Microsoft YaHei" w:hAnsi="Microsoft YaHei" w:eastAsia="Microsoft YaHei"/>
          <w:color w:val="121A16"/>
          <w:sz w:val="22"/>
        </w:rPr>
        <w:t>操作：切换到报告。选择 AI 预审意见模板和最新一次已结束运行，点击生成报告。</w:t>
      </w:r>
    </w:p>
    <w:p>
      <w:r>
        <w:rPr>
          <w:rFonts w:ascii="Microsoft YaHei" w:hAnsi="Microsoft YaHei" w:eastAsia="Microsoft YaHei"/>
          <w:color w:val="121A16"/>
          <w:sz w:val="22"/>
        </w:rPr>
        <w:t>预期结果：系统生成报告草稿，显示报告状态、来源快照和章节。项目概况和主要风险等系统章节不可随意改写；客户经理说明等允许编辑的章节可以保存修改。确认内容后可以确认并锁定，必要时解除锁定。</w:t>
      </w:r>
    </w:p>
    <w:p>
      <w:r>
        <w:rPr>
          <w:rFonts w:ascii="Microsoft YaHei" w:hAnsi="Microsoft YaHei" w:eastAsia="Microsoft YaHei"/>
          <w:color w:val="121A16"/>
          <w:sz w:val="22"/>
        </w:rPr>
        <w:t>讲解：报告不是把聊天回答复制到 Word。它按已发布模板组装当前运行、问题、证据和人工说明。报告冻结模板、数据快照、Skills 和规则版本。点击导出 Word 可得到可读取的 DOCX。</w:t>
      </w:r>
    </w:p>
    <w:p>
      <w:pPr>
        <w:pStyle w:val="Heading2"/>
        <w:keepNext/>
        <w:keepLines/>
      </w:pPr>
      <w:r>
        <w:t>六十 提交正式评审</w:t>
      </w:r>
    </w:p>
    <w:p>
      <w:r>
        <w:rPr>
          <w:rFonts w:ascii="Microsoft YaHei" w:hAnsi="Microsoft YaHei" w:eastAsia="Microsoft YaHei"/>
          <w:color w:val="121A16"/>
          <w:sz w:val="22"/>
        </w:rPr>
        <w:t>操作：在报告页点击提交正式评审，确认二次提示。</w:t>
      </w:r>
    </w:p>
    <w:p>
      <w:r>
        <w:rPr>
          <w:rFonts w:ascii="Microsoft YaHei" w:hAnsi="Microsoft YaHei" w:eastAsia="Microsoft YaHei"/>
          <w:color w:val="121A16"/>
          <w:sz w:val="22"/>
        </w:rPr>
        <w:t>预期结果：系统进入项目评审池，并显示刚刚提交。卡片包含客户经理提交时间、当前等待时间、送审版本和当前状态。</w:t>
      </w:r>
    </w:p>
    <w:p>
      <w:r>
        <w:rPr>
          <w:rFonts w:ascii="Microsoft YaHei" w:hAnsi="Microsoft YaHei" w:eastAsia="Microsoft YaHei"/>
          <w:color w:val="121A16"/>
          <w:sz w:val="22"/>
        </w:rPr>
        <w:t>讲解：客户经理提交的是一个不可覆盖的送审版本。项目仍可撤回当前版本；重新推送时创建新的送审版本，旧版本和评审留痕不会丢失。</w:t>
      </w:r>
    </w:p>
    <w:p>
      <w:pPr>
        <w:pStyle w:val="Heading2"/>
        <w:keepNext/>
        <w:keepLines/>
      </w:pPr>
      <w:r>
        <w:t>六十一 展示客户经理的评审池</w:t>
      </w:r>
    </w:p>
    <w:p>
      <w:r>
        <w:rPr>
          <w:rFonts w:ascii="Microsoft YaHei" w:hAnsi="Microsoft YaHei" w:eastAsia="Microsoft YaHei"/>
          <w:color w:val="121A16"/>
          <w:sz w:val="22"/>
        </w:rPr>
        <w:t>操作：保持客户经理身份进入项目评审池。</w:t>
      </w:r>
    </w:p>
    <w:p>
      <w:r>
        <w:rPr>
          <w:rFonts w:ascii="Microsoft YaHei" w:hAnsi="Microsoft YaHei" w:eastAsia="Microsoft YaHei"/>
          <w:color w:val="121A16"/>
          <w:sz w:val="22"/>
        </w:rPr>
        <w:t>展示内容：本人提交的项目、提交时间、已等待多久、当前是否被评审员领取、送审版本、查看项目、撤回或重新推送按钮。</w:t>
      </w:r>
    </w:p>
    <w:p>
      <w:r>
        <w:rPr>
          <w:rFonts w:ascii="Microsoft YaHei" w:hAnsi="Microsoft YaHei" w:eastAsia="Microsoft YaHei"/>
          <w:color w:val="121A16"/>
          <w:sz w:val="22"/>
        </w:rPr>
        <w:t>可选演示：在评审员领取之前点击撤回。页面提示项目已撤回，历史版本保留。再点击重新推送，页面显示新的送审版本。若项目已经被领取，应根据现场状态决定是否演示撤回，不要为了演示破坏正在进行的评审记录。</w:t>
      </w:r>
    </w:p>
    <w:p>
      <w:pPr>
        <w:pStyle w:val="Heading1"/>
        <w:keepNext/>
        <w:keepLines/>
      </w:pPr>
      <w:r>
        <w:t>七 评审员演示步骤</w:t>
      </w:r>
    </w:p>
    <w:p>
      <w:pPr>
        <w:pStyle w:val="Heading2"/>
        <w:keepNext/>
        <w:keepLines/>
      </w:pPr>
      <w:r>
        <w:t>七一 进入项目评审池</w:t>
      </w:r>
    </w:p>
    <w:p>
      <w:r>
        <w:rPr>
          <w:rFonts w:ascii="Microsoft YaHei" w:hAnsi="Microsoft YaHei" w:eastAsia="Microsoft YaHei"/>
          <w:color w:val="121A16"/>
          <w:sz w:val="22"/>
        </w:rPr>
        <w:t>操作：切换为评审员身份，进入项目评审池。</w:t>
      </w:r>
    </w:p>
    <w:p>
      <w:r>
        <w:rPr>
          <w:rFonts w:ascii="Microsoft YaHei" w:hAnsi="Microsoft YaHei" w:eastAsia="Microsoft YaHei"/>
          <w:color w:val="121A16"/>
          <w:sz w:val="22"/>
        </w:rPr>
        <w:t>讲解：评审员不是从全部项目中随意挑选。客户经理正式提交后，项目才进入待评审池。池子按等待时间倒序排列，优先暴露等待时间长的项目。</w:t>
      </w:r>
    </w:p>
    <w:p>
      <w:r>
        <w:rPr>
          <w:rFonts w:ascii="Microsoft YaHei" w:hAnsi="Microsoft YaHei" w:eastAsia="Microsoft YaHei"/>
          <w:color w:val="121A16"/>
          <w:sz w:val="22"/>
        </w:rPr>
        <w:t>卡片应显示客户经理提交时间、已等待多久、送审版本、是否已领取和办理操作。提交时间与客户经理侧使用同一条时间记录。</w:t>
      </w:r>
    </w:p>
    <w:p>
      <w:pPr>
        <w:pStyle w:val="Heading2"/>
        <w:keepNext/>
        <w:keepLines/>
      </w:pPr>
      <w:r>
        <w:t>七二 领取项目并停止排队计时</w:t>
      </w:r>
    </w:p>
    <w:p>
      <w:r>
        <w:rPr>
          <w:rFonts w:ascii="Microsoft YaHei" w:hAnsi="Microsoft YaHei" w:eastAsia="Microsoft YaHei"/>
          <w:color w:val="121A16"/>
          <w:sz w:val="22"/>
        </w:rPr>
        <w:t>操作：找到 DEMO-B，点击领取并开始评审。</w:t>
      </w:r>
    </w:p>
    <w:p>
      <w:r>
        <w:rPr>
          <w:rFonts w:ascii="Microsoft YaHei" w:hAnsi="Microsoft YaHei" w:eastAsia="Microsoft YaHei"/>
          <w:color w:val="121A16"/>
          <w:sz w:val="22"/>
        </w:rPr>
        <w:t>预期结果：系统跳转到项目工作台，全局身份显示评审员独立评审。评审池等待计时停止，评审办理计时开始。再次进入时按钮显示继续办理。</w:t>
      </w:r>
    </w:p>
    <w:p>
      <w:r>
        <w:rPr>
          <w:rFonts w:ascii="Microsoft YaHei" w:hAnsi="Microsoft YaHei" w:eastAsia="Microsoft YaHei"/>
          <w:color w:val="121A16"/>
          <w:sz w:val="22"/>
        </w:rPr>
        <w:t>讲解：领取动作创建评审分配记录，避免不同评审员同时处理同一项目。只有领取该项目的评审员才能保存独立评审结论。</w:t>
      </w:r>
    </w:p>
    <w:p>
      <w:pPr>
        <w:pStyle w:val="Heading2"/>
        <w:keepNext/>
        <w:keepLines/>
      </w:pPr>
      <w:r>
        <w:t>七三 发起评审员独立检查</w:t>
      </w:r>
    </w:p>
    <w:p>
      <w:r>
        <w:rPr>
          <w:rFonts w:ascii="Microsoft YaHei" w:hAnsi="Microsoft YaHei" w:eastAsia="Microsoft YaHei"/>
          <w:color w:val="121A16"/>
          <w:sz w:val="22"/>
        </w:rPr>
        <w:t>操作：在本次独立评审关注点中输入：</w:t>
      </w:r>
    </w:p>
    <w:p>
      <w:pPr>
        <w:pStyle w:val="CodeBlock"/>
      </w:pPr>
      <w:r>
        <w:rPr>
          <w:rFonts w:ascii="Consolas" w:hAnsi="Consolas" w:eastAsia="Consolas"/>
          <w:color w:val="121A16"/>
          <w:sz w:val="18"/>
        </w:rPr>
        <w:t>独立核对主体信息、财务与现金流、租赁物、增信措施、征信涉诉、交易结构与还款，不沿用客户经理结论。</w:t>
      </w:r>
    </w:p>
    <w:p>
      <w:r>
        <w:rPr>
          <w:rFonts w:ascii="Microsoft YaHei" w:hAnsi="Microsoft YaHei" w:eastAsia="Microsoft YaHei"/>
          <w:color w:val="121A16"/>
          <w:sz w:val="22"/>
        </w:rPr>
        <w:t>确认方案为评审员独立复核，点击发起独立评审。</w:t>
      </w:r>
    </w:p>
    <w:p>
      <w:r>
        <w:rPr>
          <w:rFonts w:ascii="Microsoft YaHei" w:hAnsi="Microsoft YaHei" w:eastAsia="Microsoft YaHei"/>
          <w:color w:val="121A16"/>
          <w:sz w:val="22"/>
        </w:rPr>
        <w:t>讲解：客户经理预审和评审员复核共用底层 mini-openclaw Agent 基座，但使用不同方案和 Skill。评审员专用方案会加入独立评审与报告证据核查方法，并重新冻结输入和组件版本，不把客户经理结论当成最终事实。</w:t>
      </w:r>
    </w:p>
    <w:p>
      <w:pPr>
        <w:pStyle w:val="Heading2"/>
        <w:keepNext/>
        <w:keepLines/>
      </w:pPr>
      <w:r>
        <w:t>七四 全链路六节点评审</w:t>
      </w:r>
    </w:p>
    <w:p>
      <w:r>
        <w:rPr>
          <w:rFonts w:ascii="Microsoft YaHei" w:hAnsi="Microsoft YaHei" w:eastAsia="Microsoft YaHei"/>
          <w:color w:val="121A16"/>
          <w:sz w:val="22"/>
        </w:rPr>
        <w:t>操作：切换到全链路评审。页面按以下六个节点展示。</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1582"/>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节点</w:t>
            </w:r>
          </w:p>
        </w:tc>
        <w:tc>
          <w:tcPr>
            <w:tcW w:type="dxa" w:w="4521"/>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评审关注点</w:t>
            </w:r>
          </w:p>
        </w:tc>
        <w:tc>
          <w:tcPr>
            <w:tcW w:type="dxa" w:w="3617"/>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可查看来源示例</w:t>
            </w:r>
          </w:p>
        </w:tc>
      </w:tr>
      <w:tr>
        <w:trPr>
          <w:cantSplit/>
        </w:trPr>
        <w:tc>
          <w:tcPr>
            <w:tcW w:type="dxa" w:w="1582"/>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主体信息</w:t>
            </w:r>
          </w:p>
        </w:tc>
        <w:tc>
          <w:tcPr>
            <w:tcW w:type="dxa" w:w="4521"/>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项目、客户、主体资格和基础信息</w:t>
            </w:r>
          </w:p>
        </w:tc>
        <w:tc>
          <w:tcPr>
            <w:tcW w:type="dxa" w:w="3617"/>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项目主数据、客户主数据、主体材料</w:t>
            </w:r>
          </w:p>
        </w:tc>
      </w:tr>
      <w:tr>
        <w:trPr>
          <w:cantSplit/>
        </w:trPr>
        <w:tc>
          <w:tcPr>
            <w:tcW w:type="dxa" w:w="1582"/>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财务与现金流</w:t>
            </w:r>
          </w:p>
        </w:tc>
        <w:tc>
          <w:tcPr>
            <w:tcW w:type="dxa" w:w="4521"/>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财务报表、尽调口径、现金流和偿债能力</w:t>
            </w:r>
          </w:p>
        </w:tc>
        <w:tc>
          <w:tcPr>
            <w:tcW w:type="dxa" w:w="3617"/>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财务数据卡、尽调材料、计算结果</w:t>
            </w:r>
          </w:p>
        </w:tc>
      </w:tr>
      <w:tr>
        <w:trPr>
          <w:cantSplit/>
        </w:trPr>
        <w:tc>
          <w:tcPr>
            <w:tcW w:type="dxa" w:w="1582"/>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租赁物</w:t>
            </w:r>
          </w:p>
        </w:tc>
        <w:tc>
          <w:tcPr>
            <w:tcW w:type="dxa" w:w="4521"/>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权属、适格性、特定化、估值、重复项和保险</w:t>
            </w:r>
          </w:p>
        </w:tc>
        <w:tc>
          <w:tcPr>
            <w:tcW w:type="dxa" w:w="3617"/>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租赁物台账、设备清单、保险材料</w:t>
            </w:r>
          </w:p>
        </w:tc>
      </w:tr>
      <w:tr>
        <w:trPr>
          <w:cantSplit/>
        </w:trPr>
        <w:tc>
          <w:tcPr>
            <w:tcW w:type="dxa" w:w="1582"/>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增信措施</w:t>
            </w:r>
          </w:p>
        </w:tc>
        <w:tc>
          <w:tcPr>
            <w:tcW w:type="dxa" w:w="4521"/>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保证、抵质押、关联关系和集中度</w:t>
            </w:r>
          </w:p>
        </w:tc>
        <w:tc>
          <w:tcPr>
            <w:tcW w:type="dxa" w:w="3617"/>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增信数据卡、合同或说明材料</w:t>
            </w:r>
          </w:p>
        </w:tc>
      </w:tr>
      <w:tr>
        <w:trPr>
          <w:cantSplit/>
        </w:trPr>
        <w:tc>
          <w:tcPr>
            <w:tcW w:type="dxa" w:w="1582"/>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征信与涉诉</w:t>
            </w:r>
          </w:p>
        </w:tc>
        <w:tc>
          <w:tcPr>
            <w:tcW w:type="dxa" w:w="4521"/>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逾期、征信报告日期、诉讼和执行信息</w:t>
            </w:r>
          </w:p>
        </w:tc>
        <w:tc>
          <w:tcPr>
            <w:tcW w:type="dxa" w:w="3617"/>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征信与司法数据卡、附件</w:t>
            </w:r>
          </w:p>
        </w:tc>
      </w:tr>
      <w:tr>
        <w:trPr>
          <w:cantSplit/>
        </w:trPr>
        <w:tc>
          <w:tcPr>
            <w:tcW w:type="dxa" w:w="1582"/>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交易结构与还款</w:t>
            </w:r>
          </w:p>
        </w:tc>
        <w:tc>
          <w:tcPr>
            <w:tcW w:type="dxa" w:w="4521"/>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融资金额、期限、还款来源和回款依赖</w:t>
            </w:r>
          </w:p>
        </w:tc>
        <w:tc>
          <w:tcPr>
            <w:tcW w:type="dxa" w:w="3617"/>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项目融资卡、还款来源卡、业务说明</w:t>
            </w:r>
          </w:p>
        </w:tc>
      </w:tr>
    </w:tbl>
    <w:p>
      <w:pPr>
        <w:spacing w:after="40"/>
      </w:pPr>
    </w:p>
    <w:p>
      <w:r>
        <w:rPr>
          <w:rFonts w:ascii="Microsoft YaHei" w:hAnsi="Microsoft YaHei" w:eastAsia="Microsoft YaHei"/>
          <w:color w:val="121A16"/>
          <w:sz w:val="22"/>
        </w:rPr>
        <w:t>每个节点从左到右看三部分：数据与来源、AI 辅助判断、评审员结论。AI 认为有问题或材料不足的节点用重点颜色标识。评审员可以查看来源，再选择确认无异常、风险可控、要求补件、转现场核查、不采纳 AI 或不适用。需要专业判断的选项必须填写意见。</w:t>
      </w:r>
    </w:p>
    <w:p>
      <w:r>
        <w:rPr>
          <w:rFonts w:ascii="Microsoft YaHei" w:hAnsi="Microsoft YaHei" w:eastAsia="Microsoft YaHei"/>
          <w:color w:val="121A16"/>
          <w:sz w:val="22"/>
        </w:rPr>
        <w:t>演示重点：能选的结论通过按钮完成，尽量减少自由输入。保存后自动记录评审员、时间、数据快照、证据编号、Skill 和规则版本。</w:t>
      </w:r>
    </w:p>
    <w:p>
      <w:pPr>
        <w:pStyle w:val="Heading2"/>
        <w:keepNext/>
        <w:keepLines/>
      </w:pPr>
      <w:r>
        <w:t>七五 演示退回</w:t>
      </w:r>
    </w:p>
    <w:p>
      <w:r>
        <w:rPr>
          <w:rFonts w:ascii="Microsoft YaHei" w:hAnsi="Microsoft YaHei" w:eastAsia="Microsoft YaHei"/>
          <w:color w:val="121A16"/>
          <w:sz w:val="22"/>
        </w:rPr>
        <w:t>操作：在至少一个节点选择要求补件并填写意见，例如请补充最新银行流水并说明经营现金流口径。在页面底部填写退回原因，点击退回补充材料。</w:t>
      </w:r>
    </w:p>
    <w:p>
      <w:r>
        <w:rPr>
          <w:rFonts w:ascii="Microsoft YaHei" w:hAnsi="Microsoft YaHei" w:eastAsia="Microsoft YaHei"/>
          <w:color w:val="121A16"/>
          <w:sz w:val="22"/>
        </w:rPr>
        <w:t>预期结果：项目状态变为退回补件。客户经理再次进入项目列表时，项目卡片使用红色底色重点标识，并显示退回时间和退回原因。</w:t>
      </w:r>
    </w:p>
    <w:p>
      <w:r>
        <w:rPr>
          <w:rFonts w:ascii="Microsoft YaHei" w:hAnsi="Microsoft YaHei" w:eastAsia="Microsoft YaHei"/>
          <w:color w:val="121A16"/>
          <w:sz w:val="22"/>
        </w:rPr>
        <w:t>讲解：退回不是删除或重建项目。客户经理在同一项目中补材料、重新预审、更新报告并重新推送。新送审版本覆盖当前池内版本，历史送审版本和原评审意见继续保留。</w:t>
      </w:r>
    </w:p>
    <w:p>
      <w:pPr>
        <w:pStyle w:val="Heading2"/>
        <w:keepNext/>
        <w:keepLines/>
      </w:pPr>
      <w:r>
        <w:t>七六 客户经理处理退回并重新推送</w:t>
      </w:r>
    </w:p>
    <w:p>
      <w:r>
        <w:rPr>
          <w:rFonts w:ascii="Microsoft YaHei" w:hAnsi="Microsoft YaHei" w:eastAsia="Microsoft YaHei"/>
          <w:color w:val="121A16"/>
          <w:sz w:val="22"/>
        </w:rPr>
        <w:t>操作：切换回客户经理，进入红色退回项目。先查看退回要求，上传或补充材料，确认候选来源，重新发起 AI 预审，生成或更新预审报告，再次提交正式评审。</w:t>
      </w:r>
    </w:p>
    <w:p>
      <w:r>
        <w:rPr>
          <w:rFonts w:ascii="Microsoft YaHei" w:hAnsi="Microsoft YaHei" w:eastAsia="Microsoft YaHei"/>
          <w:color w:val="121A16"/>
          <w:sz w:val="22"/>
        </w:rPr>
        <w:t>预期结果：项目评审池出现更高的送审版本号。评审员可以对比新旧快照和问题变化。</w:t>
      </w:r>
    </w:p>
    <w:p>
      <w:pPr>
        <w:pStyle w:val="Heading2"/>
        <w:keepNext/>
        <w:keepLines/>
      </w:pPr>
      <w:r>
        <w:t>七七 演示批准和生成评审报告</w:t>
      </w:r>
    </w:p>
    <w:p>
      <w:r>
        <w:rPr>
          <w:rFonts w:ascii="Microsoft YaHei" w:hAnsi="Microsoft YaHei" w:eastAsia="Microsoft YaHei"/>
          <w:color w:val="121A16"/>
          <w:sz w:val="22"/>
        </w:rPr>
        <w:t>如时间允许，改用已经满足条件的项目，或在所有六个节点完成可闭环结论后点击批准并生成评审报告。</w:t>
      </w:r>
    </w:p>
    <w:p>
      <w:r>
        <w:rPr>
          <w:rFonts w:ascii="Microsoft YaHei" w:hAnsi="Microsoft YaHei" w:eastAsia="Microsoft YaHei"/>
          <w:color w:val="121A16"/>
          <w:sz w:val="22"/>
        </w:rPr>
        <w:t>批准按钮只有在以下条件同时满足时可用：已经完成独立评审运行；六个必审节点都有结论；不存在要求补件、转现场核查等未闭环结论。</w:t>
      </w:r>
    </w:p>
    <w:p>
      <w:r>
        <w:rPr>
          <w:rFonts w:ascii="Microsoft YaHei" w:hAnsi="Microsoft YaHei" w:eastAsia="Microsoft YaHei"/>
          <w:color w:val="121A16"/>
          <w:sz w:val="22"/>
        </w:rPr>
        <w:t>预期结果：项目进入评审通过，系统生成独立评审报告草稿。评审员可编辑允许编辑的章节，确认并锁定后定稿，也可选择上会审议摘要模板。</w:t>
      </w:r>
    </w:p>
    <w:p>
      <w:pPr>
        <w:pStyle w:val="Heading1"/>
        <w:keepNext/>
        <w:keepLines/>
      </w:pPr>
      <w:r>
        <w:t>八 业务时效演示步骤</w:t>
      </w:r>
    </w:p>
    <w:p>
      <w:r>
        <w:rPr>
          <w:rFonts w:ascii="Microsoft YaHei" w:hAnsi="Microsoft YaHei" w:eastAsia="Microsoft YaHei"/>
          <w:color w:val="121A16"/>
          <w:sz w:val="22"/>
        </w:rPr>
        <w:t>操作：进入业务时效。先看顶部汇总，再查看阶段耗时分布、时间构成和项目时间轴。点击 DEMO-B 返回该项目的完整时间轨迹。</w:t>
      </w:r>
    </w:p>
    <w:p>
      <w:r>
        <w:rPr>
          <w:rFonts w:ascii="Microsoft YaHei" w:hAnsi="Microsoft YaHei" w:eastAsia="Microsoft YaHei"/>
          <w:color w:val="121A16"/>
          <w:sz w:val="22"/>
        </w:rPr>
        <w:t>讲解四类时间：</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972"/>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类别</w:t>
            </w:r>
          </w:p>
        </w:tc>
        <w:tc>
          <w:tcPr>
            <w:tcW w:type="dxa" w:w="4131"/>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含义</w:t>
            </w:r>
          </w:p>
        </w:tc>
        <w:tc>
          <w:tcPr>
            <w:tcW w:type="dxa" w:w="4617"/>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业务解释</w:t>
            </w:r>
          </w:p>
        </w:tc>
      </w:tr>
      <w:tr>
        <w:trPr>
          <w:cantSplit/>
        </w:trPr>
        <w:tc>
          <w:tcPr>
            <w:tcW w:type="dxa" w:w="972"/>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人员处理</w:t>
            </w:r>
          </w:p>
        </w:tc>
        <w:tc>
          <w:tcPr>
            <w:tcW w:type="dxa" w:w="4131"/>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客户经理或评审员实际办理</w:t>
            </w:r>
          </w:p>
        </w:tc>
        <w:tc>
          <w:tcPr>
            <w:tcW w:type="dxa" w:w="4617"/>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可观察材料整理、报告修改和评审处理耗时</w:t>
            </w:r>
          </w:p>
        </w:tc>
      </w:tr>
      <w:tr>
        <w:trPr>
          <w:cantSplit/>
        </w:trPr>
        <w:tc>
          <w:tcPr>
            <w:tcW w:type="dxa" w:w="972"/>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排队等待</w:t>
            </w:r>
          </w:p>
        </w:tc>
        <w:tc>
          <w:tcPr>
            <w:tcW w:type="dxa" w:w="4131"/>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已提交但尚未被评审员领取</w:t>
            </w:r>
          </w:p>
        </w:tc>
        <w:tc>
          <w:tcPr>
            <w:tcW w:type="dxa" w:w="4617"/>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反映评审资源和分配效率</w:t>
            </w:r>
          </w:p>
        </w:tc>
      </w:tr>
      <w:tr>
        <w:trPr>
          <w:cantSplit/>
        </w:trPr>
        <w:tc>
          <w:tcPr>
            <w:tcW w:type="dxa" w:w="972"/>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外部等待</w:t>
            </w:r>
          </w:p>
        </w:tc>
        <w:tc>
          <w:tcPr>
            <w:tcW w:type="dxa" w:w="4131"/>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等待客户或外部机构补充材料</w:t>
            </w:r>
          </w:p>
        </w:tc>
        <w:tc>
          <w:tcPr>
            <w:tcW w:type="dxa" w:w="4617"/>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不应误算为系统运行慢</w:t>
            </w:r>
          </w:p>
        </w:tc>
      </w:tr>
      <w:tr>
        <w:trPr>
          <w:cantSplit/>
        </w:trPr>
        <w:tc>
          <w:tcPr>
            <w:tcW w:type="dxa" w:w="972"/>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系统执行</w:t>
            </w:r>
          </w:p>
        </w:tc>
        <w:tc>
          <w:tcPr>
            <w:tcW w:type="dxa" w:w="4131"/>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AI 预审、规则检查和报告自动处理</w:t>
            </w:r>
          </w:p>
        </w:tc>
        <w:tc>
          <w:tcPr>
            <w:tcW w:type="dxa" w:w="4617"/>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用于衡量自动化执行时间</w:t>
            </w:r>
          </w:p>
        </w:tc>
      </w:tr>
    </w:tbl>
    <w:p>
      <w:pPr>
        <w:spacing w:after="40"/>
      </w:pPr>
    </w:p>
    <w:p>
      <w:r>
        <w:rPr>
          <w:rFonts w:ascii="Microsoft YaHei" w:hAnsi="Microsoft YaHei" w:eastAsia="Microsoft YaHei"/>
          <w:color w:val="121A16"/>
          <w:sz w:val="22"/>
        </w:rPr>
        <w:t>演示重点：系统自动记录开始和结束时间，不要求业务人员额外打卡。时效看板用于发现时间消耗位置，不用于简单评价个人绩效。演示数据量很小，不应宣称已经完成大规模并发性能验证。</w:t>
      </w:r>
    </w:p>
    <w:p>
      <w:pPr>
        <w:pStyle w:val="Heading1"/>
        <w:keepNext/>
        <w:keepLines/>
      </w:pPr>
      <w:r>
        <w:t>九 配置管理员演示步骤</w:t>
      </w:r>
    </w:p>
    <w:p>
      <w:pPr>
        <w:pStyle w:val="Heading2"/>
        <w:keepNext/>
        <w:keepLines/>
      </w:pPr>
      <w:r>
        <w:t>九一 进入配置治理</w:t>
      </w:r>
    </w:p>
    <w:p>
      <w:r>
        <w:rPr>
          <w:rFonts w:ascii="Microsoft YaHei" w:hAnsi="Microsoft YaHei" w:eastAsia="Microsoft YaHei"/>
          <w:color w:val="121A16"/>
          <w:sz w:val="22"/>
        </w:rPr>
        <w:t>操作：切换为配置管理员，进入配置治理。</w:t>
      </w:r>
    </w:p>
    <w:p>
      <w:r>
        <w:rPr>
          <w:rFonts w:ascii="Microsoft YaHei" w:hAnsi="Microsoft YaHei" w:eastAsia="Microsoft YaHei"/>
          <w:color w:val="121A16"/>
          <w:sz w:val="22"/>
        </w:rPr>
        <w:t>说明：配置管理员负责底层模型和数据合规边界。普通客户经理和评审员不自行配置数据库密码、模型 Key 或生产 SQL。</w:t>
      </w:r>
    </w:p>
    <w:p>
      <w:pPr>
        <w:pStyle w:val="Heading2"/>
        <w:keepNext/>
        <w:keepLines/>
      </w:pPr>
      <w:r>
        <w:t>九二 数据连接与数据卡</w:t>
      </w:r>
    </w:p>
    <w:p>
      <w:r>
        <w:rPr>
          <w:rFonts w:ascii="Microsoft YaHei" w:hAnsi="Microsoft YaHei" w:eastAsia="Microsoft YaHei"/>
          <w:color w:val="121A16"/>
          <w:sz w:val="22"/>
        </w:rPr>
        <w:t>依次展示数据连接和数据卡。说明数据连接保存数据库类型、只读边界、环境变量引用和表白名单；数据卡保存参数化 SQL、源字段到标准字段的映射、期间、口径、币种和单位。</w:t>
      </w:r>
    </w:p>
    <w:p>
      <w:r>
        <w:rPr>
          <w:rFonts w:ascii="Microsoft YaHei" w:hAnsi="Microsoft YaHei" w:eastAsia="Microsoft YaHei"/>
          <w:color w:val="121A16"/>
          <w:sz w:val="22"/>
        </w:rPr>
        <w:t xml:space="preserve">演示数据卡可以从多张表读取指定字段。SQL 使用服务端参数 </w:t>
      </w:r>
      <w:r>
        <w:rPr>
          <w:rFonts w:ascii="Consolas" w:hAnsi="Consolas" w:eastAsia="Consolas"/>
          <w:color w:val="365F91"/>
          <w:sz w:val="20"/>
        </w:rPr>
        <w:t>:project_id</w:t>
      </w:r>
      <w:r>
        <w:rPr>
          <w:rFonts w:ascii="Microsoft YaHei" w:hAnsi="Microsoft YaHei" w:eastAsia="Microsoft YaHei"/>
          <w:color w:val="121A16"/>
          <w:sz w:val="22"/>
        </w:rPr>
        <w:t>，只允许一条 SELECT 或 WITH SELECT。模型没有 SQL 工具，不会自己拼接查询。</w:t>
      </w:r>
    </w:p>
    <w:p>
      <w:pPr>
        <w:pStyle w:val="Heading2"/>
        <w:keepNext/>
        <w:keepLines/>
      </w:pPr>
      <w:r>
        <w:t>九三 Skills 能力库</w:t>
      </w:r>
    </w:p>
    <w:p>
      <w:r>
        <w:rPr>
          <w:rFonts w:ascii="Microsoft YaHei" w:hAnsi="Microsoft YaHei" w:eastAsia="Microsoft YaHei"/>
          <w:color w:val="121A16"/>
          <w:sz w:val="22"/>
        </w:rPr>
        <w:t>展示客户经理与评审员可用的金租对公业务 Skills，包括承租人及还款能力、租赁物适格性与权属、售后回租真实性、增信与集中度、独立评审与报告证据核查。</w:t>
      </w:r>
    </w:p>
    <w:p>
      <w:r>
        <w:rPr>
          <w:rFonts w:ascii="Microsoft YaHei" w:hAnsi="Microsoft YaHei" w:eastAsia="Microsoft YaHei"/>
          <w:color w:val="121A16"/>
          <w:sz w:val="22"/>
        </w:rPr>
        <w:t xml:space="preserve">如需展示本地导入，选择包含 </w:t>
      </w:r>
      <w:r>
        <w:rPr>
          <w:rFonts w:ascii="Consolas" w:hAnsi="Consolas" w:eastAsia="Consolas"/>
          <w:color w:val="365F91"/>
          <w:sz w:val="20"/>
        </w:rPr>
        <w:t>SKILL.md</w:t>
      </w:r>
      <w:r>
        <w:rPr>
          <w:rFonts w:ascii="Microsoft YaHei" w:hAnsi="Microsoft YaHei" w:eastAsia="Microsoft YaHei"/>
          <w:color w:val="121A16"/>
          <w:sz w:val="22"/>
        </w:rPr>
        <w:t xml:space="preserve"> 的文件夹。系统只读取 Skill 说明，不执行文件夹中的 Python 或 Shell 脚本。导入后形成草稿或本机预览版本，正式环境需要独立审核发布。</w:t>
      </w:r>
    </w:p>
    <w:p>
      <w:pPr>
        <w:pStyle w:val="Heading2"/>
        <w:keepNext/>
        <w:keepLines/>
      </w:pPr>
      <w:r>
        <w:t>九四 规则卡与业务方案</w:t>
      </w:r>
    </w:p>
    <w:p>
      <w:r>
        <w:rPr>
          <w:rFonts w:ascii="Microsoft YaHei" w:hAnsi="Microsoft YaHei" w:eastAsia="Microsoft YaHei"/>
          <w:color w:val="121A16"/>
          <w:sz w:val="22"/>
        </w:rPr>
        <w:t>展示演示覆盖规则。解释规则卡适合数值阈值、必填、对比和确定性条件；Skill 适合方法步骤和受控语义核查；业务方案把数据卡、Skills、规则和报告模板组合成一次可运行配置。</w:t>
      </w:r>
    </w:p>
    <w:p>
      <w:r>
        <w:rPr>
          <w:rFonts w:ascii="Microsoft YaHei" w:hAnsi="Microsoft YaHei" w:eastAsia="Microsoft YaHei"/>
          <w:color w:val="121A16"/>
          <w:sz w:val="22"/>
        </w:rPr>
        <w:t>重点展示客户经理 AI 预审和评审员独立复核不是同一张方案。它们可以共用基础数据和确定性能力，但评审员方案增加独立复核方法、不同模板和更高的工具调用预算。</w:t>
      </w:r>
    </w:p>
    <w:p>
      <w:pPr>
        <w:pStyle w:val="Heading2"/>
        <w:keepNext/>
        <w:keepLines/>
      </w:pPr>
      <w:r>
        <w:t>九五 模板与版本治理</w:t>
      </w:r>
    </w:p>
    <w:p>
      <w:r>
        <w:rPr>
          <w:rFonts w:ascii="Microsoft YaHei" w:hAnsi="Microsoft YaHei" w:eastAsia="Microsoft YaHei"/>
          <w:color w:val="121A16"/>
          <w:sz w:val="22"/>
        </w:rPr>
        <w:t>展示 AI 预审报告、独立评审报告和上会审议摘要模板。说明组件先形成草稿，再评测、审核和发布。运行开始后会冻结当前发布版本和内容哈希；后来修改规则不会改写历史结果。发布错误版本时可以回滚发布指针，历史运行仍保留原版本。</w:t>
      </w:r>
    </w:p>
    <w:p>
      <w:pPr>
        <w:pStyle w:val="Heading1"/>
        <w:keepNext/>
        <w:keepLines/>
      </w:pPr>
      <w:r>
        <w:t>十 可追溯性专题演示</w:t>
      </w:r>
    </w:p>
    <w:p>
      <w:r>
        <w:rPr>
          <w:rFonts w:ascii="Microsoft YaHei" w:hAnsi="Microsoft YaHei" w:eastAsia="Microsoft YaHei"/>
          <w:color w:val="121A16"/>
          <w:sz w:val="22"/>
        </w:rPr>
        <w:t>选取一个问题，按以下顺序完成一次从结论到源数据的穿透。</w:t>
      </w:r>
    </w:p>
    <w:p>
      <w:pPr>
        <w:ind w:left="403" w:hanging="403"/>
      </w:pPr>
      <w:r>
        <w:rPr>
          <w:rFonts w:ascii="Microsoft YaHei" w:hAnsi="Microsoft YaHei" w:eastAsia="Microsoft YaHei"/>
          <w:color w:val="121A16"/>
          <w:sz w:val="22"/>
        </w:rPr>
        <w:t>1. 在项目概览看到问题标题和状态。</w:t>
      </w:r>
    </w:p>
    <w:p>
      <w:pPr>
        <w:ind w:left="403" w:hanging="403"/>
      </w:pPr>
      <w:r>
        <w:rPr>
          <w:rFonts w:ascii="Microsoft YaHei" w:hAnsi="Microsoft YaHei" w:eastAsia="Microsoft YaHei"/>
          <w:color w:val="121A16"/>
          <w:sz w:val="22"/>
        </w:rPr>
        <w:t>2. 进入材料与问题查看 AI 判断和解决建议。</w:t>
      </w:r>
    </w:p>
    <w:p>
      <w:pPr>
        <w:ind w:left="403" w:hanging="403"/>
      </w:pPr>
      <w:r>
        <w:rPr>
          <w:rFonts w:ascii="Microsoft YaHei" w:hAnsi="Microsoft YaHei" w:eastAsia="Microsoft YaHei"/>
          <w:color w:val="121A16"/>
          <w:sz w:val="22"/>
        </w:rPr>
        <w:t>3. 打开数据来源，确认字段值、材料名称、页码或数据卡字段。</w:t>
      </w:r>
    </w:p>
    <w:p>
      <w:pPr>
        <w:ind w:left="403" w:hanging="403"/>
      </w:pPr>
      <w:r>
        <w:rPr>
          <w:rFonts w:ascii="Microsoft YaHei" w:hAnsi="Microsoft YaHei" w:eastAsia="Microsoft YaHei"/>
          <w:color w:val="121A16"/>
          <w:sz w:val="22"/>
        </w:rPr>
        <w:t>4. 打开规则与技术追溯，确认 Skill 或规则编号和版本。</w:t>
      </w:r>
    </w:p>
    <w:p>
      <w:pPr>
        <w:ind w:left="403" w:hanging="403"/>
      </w:pPr>
      <w:r>
        <w:rPr>
          <w:rFonts w:ascii="Microsoft YaHei" w:hAnsi="Microsoft YaHei" w:eastAsia="Microsoft YaHei"/>
          <w:color w:val="121A16"/>
          <w:sz w:val="22"/>
        </w:rPr>
        <w:t>5. 回到运行历史，确认运行编号、输入快照和数据版本。</w:t>
      </w:r>
    </w:p>
    <w:p>
      <w:pPr>
        <w:ind w:left="403" w:hanging="403"/>
      </w:pPr>
      <w:r>
        <w:rPr>
          <w:rFonts w:ascii="Microsoft YaHei" w:hAnsi="Microsoft YaHei" w:eastAsia="Microsoft YaHei"/>
          <w:color w:val="121A16"/>
          <w:sz w:val="22"/>
        </w:rPr>
        <w:t>6. 打开报告，确认报告绑定相同的快照和运行。</w:t>
      </w:r>
    </w:p>
    <w:p>
      <w:pPr>
        <w:ind w:left="403" w:hanging="403"/>
      </w:pPr>
      <w:r>
        <w:rPr>
          <w:rFonts w:ascii="Microsoft YaHei" w:hAnsi="Microsoft YaHei" w:eastAsia="Microsoft YaHei"/>
          <w:color w:val="121A16"/>
          <w:sz w:val="22"/>
        </w:rPr>
        <w:t>7. 在业务历史中查看发起人、操作时间和后续人工处理。</w:t>
      </w:r>
    </w:p>
    <w:p>
      <w:r>
        <w:rPr>
          <w:rFonts w:ascii="Microsoft YaHei" w:hAnsi="Microsoft YaHei" w:eastAsia="Microsoft YaHei"/>
          <w:color w:val="121A16"/>
          <w:sz w:val="22"/>
        </w:rPr>
        <w:t>讲解：可追溯不等于只展示一串 JSON。业务页面先给出人能看懂的判断、来源和建议；技术编号用于审计和复现。</w:t>
      </w:r>
    </w:p>
    <w:p>
      <w:pPr>
        <w:pStyle w:val="Heading1"/>
        <w:keepNext/>
        <w:keepLines/>
      </w:pPr>
      <w:r>
        <w:t>十一 异常场景与现场处理</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tblHeader w:val="true"/>
          <w:cantSplit/>
        </w:trPr>
        <w:tc>
          <w:tcPr>
            <w:tcW w:type="dxa" w:w="1389"/>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页面现象</w:t>
            </w:r>
          </w:p>
        </w:tc>
        <w:tc>
          <w:tcPr>
            <w:tcW w:type="dxa" w:w="3086"/>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含义</w:t>
            </w:r>
          </w:p>
        </w:tc>
        <w:tc>
          <w:tcPr>
            <w:tcW w:type="dxa" w:w="5246"/>
            <w:vAlign w:val="center"/>
            <w:tcMar>
              <w:top w:w="90" w:type="dxa"/>
              <w:start w:w="110" w:type="dxa"/>
              <w:bottom w:w="90" w:type="dxa"/>
              <w:end w:w="110" w:type="dxa"/>
            </w:tcMar>
            <w:shd w:fill="176B4A"/>
          </w:tcPr>
          <w:p>
            <w:pPr>
              <w:keepNext/>
              <w:spacing w:after="0" w:line="276" w:lineRule="auto"/>
              <w:jc w:val="center"/>
            </w:pPr>
            <w:r>
              <w:rPr>
                <w:b/>
                <w:color w:val="FFFFFF"/>
              </w:rPr>
            </w:r>
            <w:r>
              <w:rPr>
                <w:rFonts w:ascii="Microsoft YaHei" w:hAnsi="Microsoft YaHei" w:eastAsia="Microsoft YaHei"/>
                <w:b/>
                <w:color w:val="FFFFFF"/>
                <w:sz w:val="18"/>
              </w:rPr>
              <w:t>现场处理方式</w:t>
            </w:r>
          </w:p>
        </w:tc>
      </w:tr>
      <w:tr>
        <w:trPr>
          <w:cantSplit/>
        </w:trPr>
        <w:tc>
          <w:tcPr>
            <w:tcW w:type="dxa" w:w="1389"/>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访问令牌无效</w:t>
            </w:r>
          </w:p>
        </w:tc>
        <w:tc>
          <w:tcPr>
            <w:tcW w:type="dxa" w:w="3086"/>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云端身份凭据缺失或过期</w:t>
            </w:r>
          </w:p>
        </w:tc>
        <w:tc>
          <w:tcPr>
            <w:tcW w:type="dxa" w:w="5246"/>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刷新身份或重新登录，不要反复提交业务动作</w:t>
            </w:r>
          </w:p>
        </w:tc>
      </w:tr>
      <w:tr>
        <w:trPr>
          <w:cantSplit/>
        </w:trPr>
        <w:tc>
          <w:tcPr>
            <w:tcW w:type="dxa" w:w="1389"/>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AI 预审部分完成</w:t>
            </w:r>
          </w:p>
        </w:tc>
        <w:tc>
          <w:tcPr>
            <w:tcW w:type="dxa" w:w="3086"/>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部分步骤成功，部分步骤未执行或失败</w:t>
            </w:r>
          </w:p>
        </w:tc>
        <w:tc>
          <w:tcPr>
            <w:tcW w:type="dxa" w:w="5246"/>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展开步骤看失败原因；已成功的确定性结果仍可查看</w:t>
            </w:r>
          </w:p>
        </w:tc>
      </w:tr>
      <w:tr>
        <w:trPr>
          <w:cantSplit/>
        </w:trPr>
        <w:tc>
          <w:tcPr>
            <w:tcW w:type="dxa" w:w="1389"/>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模型未配置</w:t>
            </w:r>
          </w:p>
        </w:tc>
        <w:tc>
          <w:tcPr>
            <w:tcW w:type="dxa" w:w="3086"/>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语义模型步骤不可用</w:t>
            </w:r>
          </w:p>
        </w:tc>
        <w:tc>
          <w:tcPr>
            <w:tcW w:type="dxa" w:w="5246"/>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说明确定性 Skills 和规则仍能运行；配置管理员检查内网模型 URL 与 Key</w:t>
            </w:r>
          </w:p>
        </w:tc>
      </w:tr>
      <w:tr>
        <w:trPr>
          <w:cantSplit/>
        </w:trPr>
        <w:tc>
          <w:tcPr>
            <w:tcW w:type="dxa" w:w="1389"/>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数据卡读取失败</w:t>
            </w:r>
          </w:p>
        </w:tc>
        <w:tc>
          <w:tcPr>
            <w:tcW w:type="dxa" w:w="3086"/>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数据连接、SQL、表白名单或字段口径异常</w:t>
            </w:r>
          </w:p>
        </w:tc>
        <w:tc>
          <w:tcPr>
            <w:tcW w:type="dxa" w:w="5246"/>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到配置治理检查数据卡，不让模型猜测缺失数据</w:t>
            </w:r>
          </w:p>
        </w:tc>
      </w:tr>
      <w:tr>
        <w:trPr>
          <w:cantSplit/>
        </w:trPr>
        <w:tc>
          <w:tcPr>
            <w:tcW w:type="dxa" w:w="1389"/>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材料解析无候选</w:t>
            </w:r>
          </w:p>
        </w:tc>
        <w:tc>
          <w:tcPr>
            <w:tcW w:type="dxa" w:w="3086"/>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文件无可识别文本或扫描质量较差</w:t>
            </w:r>
          </w:p>
        </w:tc>
        <w:tc>
          <w:tcPr>
            <w:tcW w:type="dxa" w:w="5246"/>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下载原件核对，补充清晰文件或人工确认字段</w:t>
            </w:r>
          </w:p>
        </w:tc>
      </w:tr>
      <w:tr>
        <w:trPr>
          <w:cantSplit/>
        </w:trPr>
        <w:tc>
          <w:tcPr>
            <w:tcW w:type="dxa" w:w="1389"/>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按钮不可点击</w:t>
            </w:r>
          </w:p>
        </w:tc>
        <w:tc>
          <w:tcPr>
            <w:tcW w:type="dxa" w:w="3086"/>
            <w:vAlign w:val="center"/>
            <w:tcMar>
              <w:top w:w="90" w:type="dxa"/>
              <w:start w:w="110" w:type="dxa"/>
              <w:bottom w:w="90" w:type="dxa"/>
              <w:end w:w="110" w:type="dxa"/>
            </w:tcMar>
            <w:shd w:fill="F2F7F4"/>
          </w:tcPr>
          <w:p>
            <w:pPr>
              <w:spacing w:after="0" w:line="276" w:lineRule="auto"/>
              <w:jc w:val="center"/>
            </w:pPr>
            <w:r>
              <w:rPr>
                <w:b w:val="0"/>
                <w:color w:val="121A16"/>
              </w:rPr>
            </w:r>
            <w:r>
              <w:rPr>
                <w:rFonts w:ascii="Microsoft YaHei" w:hAnsi="Microsoft YaHei" w:eastAsia="Microsoft YaHei"/>
                <w:b w:val="0"/>
                <w:color w:val="121A16"/>
                <w:sz w:val="18"/>
              </w:rPr>
              <w:t>前置条件未满足</w:t>
            </w:r>
          </w:p>
        </w:tc>
        <w:tc>
          <w:tcPr>
            <w:tcW w:type="dxa" w:w="5246"/>
            <w:vAlign w:val="center"/>
            <w:tcMar>
              <w:top w:w="90" w:type="dxa"/>
              <w:start w:w="110" w:type="dxa"/>
              <w:bottom w:w="90" w:type="dxa"/>
              <w:end w:w="110" w:type="dxa"/>
            </w:tcMar>
            <w:shd w:fill="F2F7F4"/>
          </w:tcPr>
          <w:p>
            <w:pPr>
              <w:spacing w:after="0" w:line="276" w:lineRule="auto"/>
              <w:jc w:val="left"/>
            </w:pPr>
            <w:r>
              <w:rPr>
                <w:b w:val="0"/>
                <w:color w:val="121A16"/>
              </w:rPr>
            </w:r>
            <w:r>
              <w:rPr>
                <w:rFonts w:ascii="Microsoft YaHei" w:hAnsi="Microsoft YaHei" w:eastAsia="Microsoft YaHei"/>
                <w:b w:val="0"/>
                <w:color w:val="121A16"/>
                <w:sz w:val="18"/>
              </w:rPr>
              <w:t>查看按钮提示；通常需要先领取、先运行、填写意见或完成六个节点</w:t>
            </w:r>
          </w:p>
        </w:tc>
      </w:tr>
      <w:tr>
        <w:trPr>
          <w:cantSplit/>
        </w:trPr>
        <w:tc>
          <w:tcPr>
            <w:tcW w:type="dxa" w:w="1389"/>
            <w:vAlign w:val="center"/>
            <w:tcMar>
              <w:top w:w="90" w:type="dxa"/>
              <w:start w:w="110" w:type="dxa"/>
              <w:bottom w:w="90" w:type="dxa"/>
              <w:end w:w="110" w:type="dxa"/>
            </w:tcMar>
          </w:tcPr>
          <w:p>
            <w:pPr>
              <w:spacing w:after="0" w:line="276" w:lineRule="auto"/>
              <w:jc w:val="center"/>
            </w:pPr>
            <w:r>
              <w:rPr>
                <w:b w:val="0"/>
                <w:color w:val="121A16"/>
              </w:rPr>
            </w:r>
            <w:r>
              <w:rPr>
                <w:rFonts w:ascii="Microsoft YaHei" w:hAnsi="Microsoft YaHei" w:eastAsia="Microsoft YaHei"/>
                <w:b w:val="0"/>
                <w:color w:val="121A16"/>
                <w:sz w:val="18"/>
              </w:rPr>
              <w:t>提交后评审池未出现</w:t>
            </w:r>
          </w:p>
        </w:tc>
        <w:tc>
          <w:tcPr>
            <w:tcW w:type="dxa" w:w="3086"/>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当前报告不是最新数据版本或请求失败</w:t>
            </w:r>
          </w:p>
        </w:tc>
        <w:tc>
          <w:tcPr>
            <w:tcW w:type="dxa" w:w="5246"/>
            <w:vAlign w:val="center"/>
            <w:tcMar>
              <w:top w:w="90" w:type="dxa"/>
              <w:start w:w="110" w:type="dxa"/>
              <w:bottom w:w="90" w:type="dxa"/>
              <w:end w:w="110" w:type="dxa"/>
            </w:tcMar>
          </w:tcPr>
          <w:p>
            <w:pPr>
              <w:spacing w:after="0" w:line="276" w:lineRule="auto"/>
              <w:jc w:val="left"/>
            </w:pPr>
            <w:r>
              <w:rPr>
                <w:b w:val="0"/>
                <w:color w:val="121A16"/>
              </w:rPr>
            </w:r>
            <w:r>
              <w:rPr>
                <w:rFonts w:ascii="Microsoft YaHei" w:hAnsi="Microsoft YaHei" w:eastAsia="Microsoft YaHei"/>
                <w:b w:val="0"/>
                <w:color w:val="121A16"/>
                <w:sz w:val="18"/>
              </w:rPr>
              <w:t>刷新项目和评审池，检查报告状态及页面错误提示</w:t>
            </w:r>
          </w:p>
        </w:tc>
      </w:tr>
      <w:tr>
        <w:trPr>
          <w:cantSplit/>
        </w:trPr>
        <w:tc>
          <w:tcPr>
            <w:tcW w:type="dxa" w:w="1389"/>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时间轨迹为空</w:t>
            </w:r>
          </w:p>
        </w:tc>
        <w:tc>
          <w:tcPr>
            <w:tcW w:type="dxa" w:w="3086"/>
            <w:vAlign w:val="center"/>
            <w:tcMar>
              <w:top w:w="90" w:type="dxa"/>
              <w:start w:w="110" w:type="dxa"/>
              <w:bottom w:w="90" w:type="dxa"/>
              <w:end w:w="110" w:type="dxa"/>
            </w:tcMar>
            <w:shd w:fill="F1F5FA"/>
          </w:tcPr>
          <w:p>
            <w:pPr>
              <w:spacing w:after="0" w:line="276" w:lineRule="auto"/>
              <w:jc w:val="center"/>
            </w:pPr>
            <w:r>
              <w:rPr>
                <w:b w:val="0"/>
                <w:color w:val="121A16"/>
              </w:rPr>
            </w:r>
            <w:r>
              <w:rPr>
                <w:rFonts w:ascii="Microsoft YaHei" w:hAnsi="Microsoft YaHei" w:eastAsia="Microsoft YaHei"/>
                <w:b w:val="0"/>
                <w:color w:val="121A16"/>
                <w:sz w:val="18"/>
              </w:rPr>
              <w:t>该项目还没有对应阶段事件</w:t>
            </w:r>
          </w:p>
        </w:tc>
        <w:tc>
          <w:tcPr>
            <w:tcW w:type="dxa" w:w="5246"/>
            <w:vAlign w:val="center"/>
            <w:tcMar>
              <w:top w:w="90" w:type="dxa"/>
              <w:start w:w="110" w:type="dxa"/>
              <w:bottom w:w="90" w:type="dxa"/>
              <w:end w:w="110" w:type="dxa"/>
            </w:tcMar>
            <w:shd w:fill="F1F5FA"/>
          </w:tcPr>
          <w:p>
            <w:pPr>
              <w:spacing w:after="0" w:line="276" w:lineRule="auto"/>
              <w:jc w:val="left"/>
            </w:pPr>
            <w:r>
              <w:rPr>
                <w:b w:val="0"/>
                <w:color w:val="121A16"/>
              </w:rPr>
            </w:r>
            <w:r>
              <w:rPr>
                <w:rFonts w:ascii="Microsoft YaHei" w:hAnsi="Microsoft YaHei" w:eastAsia="Microsoft YaHei"/>
                <w:b w:val="0"/>
                <w:color w:val="121A16"/>
                <w:sz w:val="18"/>
              </w:rPr>
              <w:t>先执行提交、领取或运行；不要手工伪造耗时</w:t>
            </w:r>
          </w:p>
        </w:tc>
      </w:tr>
    </w:tbl>
    <w:p>
      <w:pPr>
        <w:spacing w:after="40"/>
      </w:pPr>
    </w:p>
    <w:p>
      <w:pPr>
        <w:pStyle w:val="Heading1"/>
        <w:keepNext/>
        <w:keepLines/>
      </w:pPr>
      <w:r>
        <w:t>十二 精简演示方案</w:t>
      </w:r>
    </w:p>
    <w:p>
      <w:r>
        <w:rPr>
          <w:rFonts w:ascii="Microsoft YaHei" w:hAnsi="Microsoft YaHei" w:eastAsia="Microsoft YaHei"/>
          <w:color w:val="121A16"/>
          <w:sz w:val="22"/>
        </w:rPr>
        <w:t>只有二十五分钟时，按以下顺序演示：</w:t>
      </w:r>
    </w:p>
    <w:p>
      <w:pPr>
        <w:ind w:left="403" w:hanging="403"/>
      </w:pPr>
      <w:r>
        <w:rPr>
          <w:rFonts w:ascii="Microsoft YaHei" w:hAnsi="Microsoft YaHei" w:eastAsia="Microsoft YaHei"/>
          <w:color w:val="121A16"/>
          <w:sz w:val="22"/>
        </w:rPr>
        <w:t>1. 客户经理在业务助手选择 DEMO-B，询问项目状态和下一步。</w:t>
      </w:r>
    </w:p>
    <w:p>
      <w:pPr>
        <w:ind w:left="403" w:hanging="403"/>
      </w:pPr>
      <w:r>
        <w:rPr>
          <w:rFonts w:ascii="Microsoft YaHei" w:hAnsi="Microsoft YaHei" w:eastAsia="Microsoft YaHei"/>
          <w:color w:val="121A16"/>
          <w:sz w:val="22"/>
        </w:rPr>
        <w:t>2. 进入项目概览，点击未处理问题，展示四类问题中的两类及证据来源。</w:t>
      </w:r>
    </w:p>
    <w:p>
      <w:pPr>
        <w:ind w:left="403" w:hanging="403"/>
      </w:pPr>
      <w:r>
        <w:rPr>
          <w:rFonts w:ascii="Microsoft YaHei" w:hAnsi="Microsoft YaHei" w:eastAsia="Microsoft YaHei"/>
          <w:color w:val="121A16"/>
          <w:sz w:val="22"/>
        </w:rPr>
        <w:t>3. 发起 AI 预审，解释冻结快照和确定性检查优先。</w:t>
      </w:r>
    </w:p>
    <w:p>
      <w:pPr>
        <w:ind w:left="403" w:hanging="403"/>
      </w:pPr>
      <w:r>
        <w:rPr>
          <w:rFonts w:ascii="Microsoft YaHei" w:hAnsi="Microsoft YaHei" w:eastAsia="Microsoft YaHei"/>
          <w:color w:val="121A16"/>
          <w:sz w:val="22"/>
        </w:rPr>
        <w:t>4. 生成 AI 预审报告并提交正式评审。</w:t>
      </w:r>
    </w:p>
    <w:p>
      <w:pPr>
        <w:ind w:left="403" w:hanging="403"/>
      </w:pPr>
      <w:r>
        <w:rPr>
          <w:rFonts w:ascii="Microsoft YaHei" w:hAnsi="Microsoft YaHei" w:eastAsia="Microsoft YaHei"/>
          <w:color w:val="121A16"/>
          <w:sz w:val="22"/>
        </w:rPr>
        <w:t>5. 切换评审员，在评审池看到提交时间和等待时长，领取项目。</w:t>
      </w:r>
    </w:p>
    <w:p>
      <w:pPr>
        <w:ind w:left="403" w:hanging="403"/>
      </w:pPr>
      <w:r>
        <w:rPr>
          <w:rFonts w:ascii="Microsoft YaHei" w:hAnsi="Microsoft YaHei" w:eastAsia="Microsoft YaHei"/>
          <w:color w:val="121A16"/>
          <w:sz w:val="22"/>
        </w:rPr>
        <w:t>6. 展示六节点全链路评审，选择一个节点填写意见并演示退回。</w:t>
      </w:r>
    </w:p>
    <w:p>
      <w:pPr>
        <w:ind w:left="403" w:hanging="403"/>
      </w:pPr>
      <w:r>
        <w:rPr>
          <w:rFonts w:ascii="Microsoft YaHei" w:hAnsi="Microsoft YaHei" w:eastAsia="Microsoft YaHei"/>
          <w:color w:val="121A16"/>
          <w:sz w:val="22"/>
        </w:rPr>
        <w:t>7. 切回客户经理，展示红色退回项目卡。</w:t>
      </w:r>
    </w:p>
    <w:p>
      <w:pPr>
        <w:ind w:left="403" w:hanging="403"/>
      </w:pPr>
      <w:r>
        <w:rPr>
          <w:rFonts w:ascii="Microsoft YaHei" w:hAnsi="Microsoft YaHei" w:eastAsia="Microsoft YaHei"/>
          <w:color w:val="121A16"/>
          <w:sz w:val="22"/>
        </w:rPr>
        <w:t>8. 打开业务时效，说明人员处理、排队、外部等待和系统执行四类时间。</w:t>
      </w:r>
    </w:p>
    <w:p>
      <w:pPr>
        <w:ind w:left="403" w:hanging="403"/>
      </w:pPr>
      <w:r>
        <w:rPr>
          <w:rFonts w:ascii="Microsoft YaHei" w:hAnsi="Microsoft YaHei" w:eastAsia="Microsoft YaHei"/>
          <w:color w:val="121A16"/>
          <w:sz w:val="22"/>
        </w:rPr>
        <w:t>9. 用一分钟说明配置管理员统一管理数据卡、Skills、规则、方案和模板。</w:t>
      </w:r>
    </w:p>
    <w:p>
      <w:pPr>
        <w:pStyle w:val="Heading1"/>
        <w:keepNext/>
        <w:keepLines/>
      </w:pPr>
      <w:r>
        <w:t>十三 建议讲解话术</w:t>
      </w:r>
    </w:p>
    <w:p>
      <w:pPr>
        <w:pStyle w:val="Heading2"/>
        <w:keepNext/>
        <w:keepLines/>
      </w:pPr>
      <w:r>
        <w:t>开场话术</w:t>
      </w:r>
    </w:p>
    <w:p>
      <w:r>
        <w:rPr>
          <w:rFonts w:ascii="Microsoft YaHei" w:hAnsi="Microsoft YaHei" w:eastAsia="Microsoft YaHei"/>
          <w:color w:val="121A16"/>
          <w:sz w:val="22"/>
        </w:rPr>
        <w:t>今天演示的是一笔对公融资租赁项目从客户经理提交前自查到评审员独立评审的完整过程。我们重点看三个结果：业务人员是否少操作，AI 判断是否有来源，客户经理提交和评审员办理是否能在同一条时间线上衔接。</w:t>
      </w:r>
    </w:p>
    <w:p>
      <w:pPr>
        <w:pStyle w:val="Heading2"/>
        <w:keepNext/>
        <w:keepLines/>
      </w:pPr>
      <w:r>
        <w:t>AI 预审话术</w:t>
      </w:r>
    </w:p>
    <w:p>
      <w:r>
        <w:rPr>
          <w:rFonts w:ascii="Microsoft YaHei" w:hAnsi="Microsoft YaHei" w:eastAsia="Microsoft YaHei"/>
          <w:color w:val="121A16"/>
          <w:sz w:val="22"/>
        </w:rPr>
        <w:t>点击开始 AI 预审后，系统会冻结当时的项目数据、材料、数据卡、Skills 和规则版本。金额比较和比例计算先由确定性程序完成；需要语义理解时，模型只能通过授权的只读工具读取本项目快照。缺少证据时，系统应显示材料不足，而不是给出通过结论。</w:t>
      </w:r>
    </w:p>
    <w:p>
      <w:pPr>
        <w:pStyle w:val="Heading2"/>
        <w:keepNext/>
        <w:keepLines/>
      </w:pPr>
      <w:r>
        <w:t>评审话术</w:t>
      </w:r>
    </w:p>
    <w:p>
      <w:r>
        <w:rPr>
          <w:rFonts w:ascii="Microsoft YaHei" w:hAnsi="Microsoft YaHei" w:eastAsia="Microsoft YaHei"/>
          <w:color w:val="121A16"/>
          <w:sz w:val="22"/>
        </w:rPr>
        <w:t>评审员会对主体、财务、租赁物、增信、征信涉诉和交易还款六个领域逐项形成结论。AI 高亮需要关注的位置，但批准、退回和专业意见由评审员操作。每个结论都会绑定来源快照、证据和规则版本。</w:t>
      </w:r>
    </w:p>
    <w:p>
      <w:pPr>
        <w:pStyle w:val="Heading2"/>
        <w:keepNext/>
        <w:keepLines/>
      </w:pPr>
      <w:r>
        <w:t>经验沉淀话术</w:t>
      </w:r>
    </w:p>
    <w:p>
      <w:r>
        <w:rPr>
          <w:rFonts w:ascii="Microsoft YaHei" w:hAnsi="Microsoft YaHei" w:eastAsia="Microsoft YaHei"/>
          <w:color w:val="121A16"/>
          <w:sz w:val="22"/>
        </w:rPr>
        <w:t>评审意见可以形成经验草稿，但不会自动变成全公司的规则。经验需要写清适用条件、例外条件、核查动作和有效期，再经过隔离评测与独立审核发布。后续运行只有在项目、数据域、行业、团队和条件匹配时才会使用它。</w:t>
      </w:r>
    </w:p>
    <w:p>
      <w:pPr>
        <w:pStyle w:val="Heading1"/>
        <w:keepNext/>
        <w:keepLines/>
      </w:pPr>
      <w:r>
        <w:t>十四 常见提问与回答</w:t>
      </w:r>
    </w:p>
    <w:p>
      <w:pPr>
        <w:pStyle w:val="Heading2"/>
        <w:keepNext/>
        <w:keepLines/>
      </w:pPr>
      <w:r>
        <w:t>AI 会不会直接修改数据库</w:t>
      </w:r>
    </w:p>
    <w:p>
      <w:r>
        <w:rPr>
          <w:rFonts w:ascii="Microsoft YaHei" w:hAnsi="Microsoft YaHei" w:eastAsia="Microsoft YaHei"/>
          <w:color w:val="121A16"/>
          <w:sz w:val="22"/>
        </w:rPr>
        <w:t>不会。数据卡由服务端执行受控只读 SQL，模型没有 SQL 工具。上传材料生成候选字段，必须经过人工确认才更新项目事实。</w:t>
      </w:r>
    </w:p>
    <w:p>
      <w:pPr>
        <w:pStyle w:val="Heading2"/>
        <w:keepNext/>
        <w:keepLines/>
      </w:pPr>
      <w:r>
        <w:t>AI 会不会替评审员批准</w:t>
      </w:r>
    </w:p>
    <w:p>
      <w:r>
        <w:rPr>
          <w:rFonts w:ascii="Microsoft YaHei" w:hAnsi="Microsoft YaHei" w:eastAsia="Microsoft YaHei"/>
          <w:color w:val="121A16"/>
          <w:sz w:val="22"/>
        </w:rPr>
        <w:t>不会。AI 输出检查结果和建议。最终批准或退回必须由已领取项目的评审员操作，且批准前六个必审节点必须完成。</w:t>
      </w:r>
    </w:p>
    <w:p>
      <w:pPr>
        <w:pStyle w:val="Heading2"/>
        <w:keepNext/>
        <w:keepLines/>
      </w:pPr>
      <w:r>
        <w:t>每个人写报告不一样怎么处理</w:t>
      </w:r>
    </w:p>
    <w:p>
      <w:r>
        <w:rPr>
          <w:rFonts w:ascii="Microsoft YaHei" w:hAnsi="Microsoft YaHei" w:eastAsia="Microsoft YaHei"/>
          <w:color w:val="121A16"/>
          <w:sz w:val="22"/>
        </w:rPr>
        <w:t>系统通过可配置模板统一报告结构，同时保留允许编辑的人工判断章节。系统生成的事实和风险章节绑定运行快照；人工章节保留编辑、确认、锁定和历史版本。</w:t>
      </w:r>
    </w:p>
    <w:p>
      <w:pPr>
        <w:pStyle w:val="Heading2"/>
        <w:keepNext/>
        <w:keepLines/>
      </w:pPr>
      <w:r>
        <w:t>Skills 和规则是否相同</w:t>
      </w:r>
    </w:p>
    <w:p>
      <w:r>
        <w:rPr>
          <w:rFonts w:ascii="Microsoft YaHei" w:hAnsi="Microsoft YaHei" w:eastAsia="Microsoft YaHei"/>
          <w:color w:val="121A16"/>
          <w:sz w:val="22"/>
        </w:rPr>
        <w:t>两者职责不同。规则卡处理阈值、比较和必填等确定条件。Skill 描述业务方法，或由受控执行器和模型完成步骤。业务方案负责把数据卡、Skills、规则和模板组合起来。</w:t>
      </w:r>
    </w:p>
    <w:p>
      <w:pPr>
        <w:pStyle w:val="Heading2"/>
        <w:keepNext/>
        <w:keepLines/>
      </w:pPr>
      <w:r>
        <w:t>客户经理和评审员是否共用同一套能力</w:t>
      </w:r>
    </w:p>
    <w:p>
      <w:r>
        <w:rPr>
          <w:rFonts w:ascii="Microsoft YaHei" w:hAnsi="Microsoft YaHei" w:eastAsia="Microsoft YaHei"/>
          <w:color w:val="121A16"/>
          <w:sz w:val="22"/>
        </w:rPr>
        <w:t>共用底层 Agent 基座、标准字段和部分确定性 Skills，但业务方案不同。评审员使用独立复核 Skill 和评审报告模板，并重新运行检查，不继承客户经理的最终结论。</w:t>
      </w:r>
    </w:p>
    <w:p>
      <w:pPr>
        <w:pStyle w:val="Heading2"/>
        <w:keepNext/>
        <w:keepLines/>
      </w:pPr>
      <w:r>
        <w:t>系统是否会自动学习所有意见</w:t>
      </w:r>
    </w:p>
    <w:p>
      <w:r>
        <w:rPr>
          <w:rFonts w:ascii="Microsoft YaHei" w:hAnsi="Microsoft YaHei" w:eastAsia="Microsoft YaHei"/>
          <w:color w:val="121A16"/>
          <w:sz w:val="22"/>
        </w:rPr>
        <w:t>不会。评审反馈先形成经验草稿，经过适用性评测、独立审核和发布后才可能用于后续项目。表达或事实纠正不会自动升级为规则。</w:t>
      </w:r>
    </w:p>
    <w:p>
      <w:pPr>
        <w:pStyle w:val="Heading1"/>
        <w:keepNext/>
        <w:keepLines/>
      </w:pPr>
      <w:r>
        <w:t>十五 演示验收清单</w:t>
      </w:r>
    </w:p>
    <w:p>
      <w:r>
        <w:rPr>
          <w:rFonts w:ascii="Microsoft YaHei" w:hAnsi="Microsoft YaHei" w:eastAsia="Microsoft YaHei"/>
          <w:color w:val="121A16"/>
          <w:sz w:val="22"/>
        </w:rPr>
        <w:t>演示结束前逐项确认：</w:t>
      </w:r>
    </w:p>
    <w:p>
      <w:pPr>
        <w:pStyle w:val="ListBullet"/>
      </w:pPr>
      <w:r>
        <w:rPr>
          <w:rFonts w:ascii="Microsoft YaHei" w:hAnsi="Microsoft YaHei" w:eastAsia="Microsoft YaHei"/>
          <w:color w:val="121A16"/>
          <w:sz w:val="22"/>
        </w:rPr>
        <w:t>业务助手能选择项目，回答状态、下一步、问题和缺失材料。</w:t>
      </w:r>
    </w:p>
    <w:p>
      <w:pPr>
        <w:pStyle w:val="ListBullet"/>
      </w:pPr>
      <w:r>
        <w:rPr>
          <w:rFonts w:ascii="Microsoft YaHei" w:hAnsi="Microsoft YaHei" w:eastAsia="Microsoft YaHei"/>
          <w:color w:val="121A16"/>
          <w:sz w:val="22"/>
        </w:rPr>
        <w:t>用户消息与助手消息左右清楚，执行动作显示操作凭证。</w:t>
      </w:r>
    </w:p>
    <w:p>
      <w:pPr>
        <w:pStyle w:val="ListBullet"/>
      </w:pPr>
      <w:r>
        <w:rPr>
          <w:rFonts w:ascii="Microsoft YaHei" w:hAnsi="Microsoft YaHei" w:eastAsia="Microsoft YaHei"/>
          <w:color w:val="121A16"/>
          <w:sz w:val="22"/>
        </w:rPr>
        <w:t>客户经理能打开项目、上传材料、查看解析候选并人工确认。</w:t>
      </w:r>
    </w:p>
    <w:p>
      <w:pPr>
        <w:pStyle w:val="ListBullet"/>
      </w:pPr>
      <w:r>
        <w:rPr>
          <w:rFonts w:ascii="Microsoft YaHei" w:hAnsi="Microsoft YaHei" w:eastAsia="Microsoft YaHei"/>
          <w:color w:val="121A16"/>
          <w:sz w:val="22"/>
        </w:rPr>
        <w:t>AI 预审能创建持久任务，展示已排队、检查中和最终状态。</w:t>
      </w:r>
    </w:p>
    <w:p>
      <w:pPr>
        <w:pStyle w:val="ListBullet"/>
      </w:pPr>
      <w:r>
        <w:rPr>
          <w:rFonts w:ascii="Microsoft YaHei" w:hAnsi="Microsoft YaHei" w:eastAsia="Microsoft YaHei"/>
          <w:color w:val="121A16"/>
          <w:sz w:val="22"/>
        </w:rPr>
        <w:t>问题能看到数据来源、AI 判断、解决建议和技术追溯。</w:t>
      </w:r>
    </w:p>
    <w:p>
      <w:pPr>
        <w:pStyle w:val="ListBullet"/>
      </w:pPr>
      <w:r>
        <w:rPr>
          <w:rFonts w:ascii="Microsoft YaHei" w:hAnsi="Microsoft YaHei" w:eastAsia="Microsoft YaHei"/>
          <w:color w:val="121A16"/>
          <w:sz w:val="22"/>
        </w:rPr>
        <w:t>报告能从指定运行生成，并能导出 Word。</w:t>
      </w:r>
    </w:p>
    <w:p>
      <w:pPr>
        <w:pStyle w:val="ListBullet"/>
      </w:pPr>
      <w:r>
        <w:rPr>
          <w:rFonts w:ascii="Microsoft YaHei" w:hAnsi="Microsoft YaHei" w:eastAsia="Microsoft YaHei"/>
          <w:color w:val="121A16"/>
          <w:sz w:val="22"/>
        </w:rPr>
        <w:t>客户经理提交后，评审池显示提交时间、等待时间和送审版本。</w:t>
      </w:r>
    </w:p>
    <w:p>
      <w:pPr>
        <w:pStyle w:val="ListBullet"/>
      </w:pPr>
      <w:r>
        <w:rPr>
          <w:rFonts w:ascii="Microsoft YaHei" w:hAnsi="Microsoft YaHei" w:eastAsia="Microsoft YaHei"/>
          <w:color w:val="121A16"/>
          <w:sz w:val="22"/>
        </w:rPr>
        <w:t>评审员能领取项目，等待计时停止，办理计时开始。</w:t>
      </w:r>
    </w:p>
    <w:p>
      <w:pPr>
        <w:pStyle w:val="ListBullet"/>
      </w:pPr>
      <w:r>
        <w:rPr>
          <w:rFonts w:ascii="Microsoft YaHei" w:hAnsi="Microsoft YaHei" w:eastAsia="Microsoft YaHei"/>
          <w:color w:val="121A16"/>
          <w:sz w:val="22"/>
        </w:rPr>
        <w:t>六个必审节点都能查看来源、AI 判断和人工结论。</w:t>
      </w:r>
    </w:p>
    <w:p>
      <w:pPr>
        <w:pStyle w:val="ListBullet"/>
      </w:pPr>
      <w:r>
        <w:rPr>
          <w:rFonts w:ascii="Microsoft YaHei" w:hAnsi="Microsoft YaHei" w:eastAsia="Microsoft YaHei"/>
          <w:color w:val="121A16"/>
          <w:sz w:val="22"/>
        </w:rPr>
        <w:t>退回需要原因，客户经理项目卡出现红色重点标识。</w:t>
      </w:r>
    </w:p>
    <w:p>
      <w:pPr>
        <w:pStyle w:val="ListBullet"/>
      </w:pPr>
      <w:r>
        <w:rPr>
          <w:rFonts w:ascii="Microsoft YaHei" w:hAnsi="Microsoft YaHei" w:eastAsia="Microsoft YaHei"/>
          <w:color w:val="121A16"/>
          <w:sz w:val="22"/>
        </w:rPr>
        <w:t>批准需要完成全部节点且没有未闭环事项。</w:t>
      </w:r>
    </w:p>
    <w:p>
      <w:pPr>
        <w:pStyle w:val="ListBullet"/>
      </w:pPr>
      <w:r>
        <w:rPr>
          <w:rFonts w:ascii="Microsoft YaHei" w:hAnsi="Microsoft YaHei" w:eastAsia="Microsoft YaHei"/>
          <w:color w:val="121A16"/>
          <w:sz w:val="22"/>
        </w:rPr>
        <w:t>业务时效能区分人员处理、排队、外部等待和系统执行。</w:t>
      </w:r>
    </w:p>
    <w:p>
      <w:pPr>
        <w:pStyle w:val="ListBullet"/>
      </w:pPr>
      <w:r>
        <w:rPr>
          <w:rFonts w:ascii="Microsoft YaHei" w:hAnsi="Microsoft YaHei" w:eastAsia="Microsoft YaHei"/>
          <w:color w:val="121A16"/>
          <w:sz w:val="22"/>
        </w:rPr>
        <w:t>配置管理员能说明数据连接、数据卡、Skills、规则、方案和模板的版本关系。</w:t>
      </w:r>
    </w:p>
    <w:p>
      <w:pPr>
        <w:pStyle w:val="ListBullet"/>
      </w:pPr>
      <w:r>
        <w:rPr>
          <w:rFonts w:ascii="Microsoft YaHei" w:hAnsi="Microsoft YaHei" w:eastAsia="Microsoft YaHei"/>
          <w:color w:val="121A16"/>
          <w:sz w:val="22"/>
        </w:rPr>
        <w:t>任一历史运行和报告都能回到数据快照、证据编号和组件版本。</w:t>
      </w:r>
    </w:p>
    <w:p>
      <w:pPr>
        <w:pStyle w:val="Heading1"/>
        <w:keepNext/>
        <w:keepLines/>
      </w:pPr>
      <w:r>
        <w:t>十六 演示结束后的交付说明</w:t>
      </w:r>
    </w:p>
    <w:p>
      <w:r>
        <w:rPr>
          <w:rFonts w:ascii="Microsoft YaHei" w:hAnsi="Microsoft YaHei" w:eastAsia="Microsoft YaHei"/>
          <w:color w:val="121A16"/>
          <w:sz w:val="22"/>
        </w:rPr>
        <w:t>演示完成后，应保存本次使用的系统版本、项目编号、运行编号、报告编号和发现的问题。客户确认的是当前版本的业务流程与可追溯能力，不等于演示阈值、演示数据、模型效果或身份切换方式已经成为生产制度。生产上线前仍需完成正式数据字典、规则阈值、报告模板、模型和 OCR 选型、统一身份认证、权限矩阵、日志保留周期及数据脱敏要求的确认。</w:t>
      </w:r>
    </w:p>
    <w:sectPr w:rsidR="00FC693F" w:rsidRPr="0006063C" w:rsidSect="00034616">
      <w:headerReference w:type="default" r:id="rId9"/>
      <w:footerReference w:type="default" r:id="rId10"/>
      <w:pgSz w:w="12240" w:h="15840"/>
      <w:pgMar w:top="979" w:right="1037" w:bottom="936" w:left="1037"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F6F67"/>
        <w:sz w:val="16"/>
      </w:rPr>
      <w:t>兴邦金租详细演示手册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341" w:lineRule="auto"/>
    </w:pPr>
    <w:rPr>
      <w:rFonts w:ascii="Microsoft YaHei" w:hAnsi="Microsoft YaHei" w:eastAsia="Microsoft YaHei"/>
      <w:color w:val="121A1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Microsoft YaHei" w:hAnsi="Microsoft YaHei" w:eastAsia="Microsoft YaHe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Microsoft YaHei" w:hAnsi="Microsoft YaHei" w:eastAsia="Microsoft YaHe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60" w:line="240" w:lineRule="auto" w:before="0"/>
      <w:contextualSpacing/>
    </w:pPr>
    <w:rPr>
      <w:rFonts w:asciiTheme="majorHAnsi" w:eastAsiaTheme="majorEastAsia" w:hAnsiTheme="majorHAnsi" w:cstheme="majorBidi" w:ascii="Microsoft YaHei" w:hAnsi="Microsoft YaHei" w:eastAsia="Microsoft YaHei"/>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Microsoft YaHei" w:hAnsi="Microsoft YaHei" w:eastAsia="Microsoft YaHei"/>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 Block"/>
    <w:pPr>
      <w:spacing w:before="80" w:after="140" w:line="259" w:lineRule="auto"/>
      <w:ind w:left="360" w:right="216"/>
    </w:pPr>
    <w:rPr>
      <w:rFonts w:ascii="Consolas" w:hAnsi="Consolas" w:eastAsia="Microsoft YaHei"/>
      <w:color w:val="121A16"/>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兴邦金租对公智能评审平台详细演示手册</dc:title>
  <dc:subject>客户经理预审 评审池 独立评审 配置治理和时效看板完整演示步骤</dc:subject>
  <dc:creator>兴邦金租项目组</dc:creator>
  <cp:keywords>兴邦金租, 对公业务, AI预审, Agent Loop, 数据卡, Skills, 规则卡, 记忆系统</cp:keywords>
  <dc:description>generated by python-docx</dc:description>
  <cp:lastModifiedBy/>
  <cp:revision>1</cp:revision>
  <dcterms:created xsi:type="dcterms:W3CDTF">2013-12-23T23:15:00Z</dcterms:created>
  <dcterms:modified xsi:type="dcterms:W3CDTF">2013-12-23T23:15:00Z</dcterms:modified>
  <cp:category/>
</cp:coreProperties>
</file>